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imes New Roman" w:hAnsi="Times New Roman" w:eastAsia="仿宋_GB2312" w:cs="Times New Roman"/>
          <w:color w:val="000000"/>
          <w:sz w:val="28"/>
          <w:lang w:eastAsia="zh-CN"/>
        </w:rPr>
      </w:pPr>
    </w:p>
    <w:p>
      <w:pPr>
        <w:spacing w:line="360" w:lineRule="auto"/>
        <w:jc w:val="both"/>
        <w:rPr>
          <w:rFonts w:ascii="Times New Roman" w:hAnsi="Times New Roman" w:eastAsia="华文新魏" w:cs="Times New Roman"/>
          <w:b/>
          <w:bCs/>
          <w:color w:val="000000"/>
          <w:spacing w:val="-23"/>
          <w:sz w:val="48"/>
          <w:szCs w:val="48"/>
          <w:lang w:eastAsia="zh-CN"/>
        </w:rPr>
      </w:pP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36"/>
          <w:szCs w:val="36"/>
          <w:lang w:eastAsia="zh-CN"/>
        </w:rPr>
        <w:t>湖南科伦制药有限公司岳阳分公司综合制剂二扩建项目竣工环境保护验收监测报告表</w:t>
      </w:r>
    </w:p>
    <w:p>
      <w:pPr>
        <w:widowControl/>
        <w:autoSpaceDE/>
        <w:autoSpaceDN/>
        <w:adjustRightInd w:val="0"/>
        <w:snapToGrid w:val="0"/>
        <w:spacing w:after="200" w:line="360" w:lineRule="auto"/>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inline distT="0" distB="0" distL="114300" distR="114300">
            <wp:extent cx="5266690" cy="3950335"/>
            <wp:effectExtent l="0" t="0" r="10160" b="12065"/>
            <wp:docPr id="22" name="图片 22" descr="774e646c4570f32230b805877711a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774e646c4570f32230b805877711ad4"/>
                    <pic:cNvPicPr>
                      <a:picLocks noChangeAspect="1"/>
                    </pic:cNvPicPr>
                  </pic:nvPicPr>
                  <pic:blipFill>
                    <a:blip r:embed="rId10"/>
                    <a:stretch>
                      <a:fillRect/>
                    </a:stretch>
                  </pic:blipFill>
                  <pic:spPr>
                    <a:xfrm>
                      <a:off x="0" y="0"/>
                      <a:ext cx="5266690" cy="3950335"/>
                    </a:xfrm>
                    <a:prstGeom prst="rect">
                      <a:avLst/>
                    </a:prstGeom>
                  </pic:spPr>
                </pic:pic>
              </a:graphicData>
            </a:graphic>
          </wp:inline>
        </w:drawing>
      </w:r>
    </w:p>
    <w:p>
      <w:pPr>
        <w:autoSpaceDE/>
        <w:autoSpaceDN/>
        <w:spacing w:line="360" w:lineRule="auto"/>
        <w:ind w:firstLine="640" w:firstLineChars="200"/>
        <w:jc w:val="both"/>
        <w:rPr>
          <w:rFonts w:hint="default" w:ascii="Times New Roman" w:hAnsi="Times New Roman" w:eastAsia="宋体" w:cs="Times New Roman"/>
          <w:color w:val="auto"/>
          <w:kern w:val="0"/>
          <w:sz w:val="32"/>
          <w:szCs w:val="32"/>
          <w:u w:val="single"/>
          <w:lang w:val="en-US" w:eastAsia="zh-CN" w:bidi="ar-SA"/>
        </w:rPr>
      </w:pPr>
      <w:r>
        <w:rPr>
          <w:rFonts w:hint="default" w:ascii="Times New Roman" w:hAnsi="Times New Roman" w:eastAsia="宋体" w:cs="Times New Roman"/>
          <w:color w:val="auto"/>
          <w:sz w:val="32"/>
          <w:szCs w:val="32"/>
          <w:u w:val="single"/>
          <w:lang w:eastAsia="zh-CN"/>
        </w:rPr>
        <w:t>建设单位：</w:t>
      </w:r>
      <w:r>
        <w:rPr>
          <w:rFonts w:hint="eastAsia" w:ascii="Times New Roman" w:hAnsi="Times New Roman" w:eastAsia="宋体" w:cs="Times New Roman"/>
          <w:color w:val="auto"/>
          <w:sz w:val="32"/>
          <w:szCs w:val="32"/>
          <w:u w:val="single"/>
          <w:lang w:val="en-US" w:eastAsia="zh-CN"/>
        </w:rPr>
        <w:t xml:space="preserve">  </w:t>
      </w:r>
      <w:r>
        <w:rPr>
          <w:rFonts w:hint="default" w:ascii="Times New Roman" w:hAnsi="Times New Roman" w:eastAsia="宋体" w:cs="Times New Roman"/>
          <w:color w:val="auto"/>
          <w:kern w:val="0"/>
          <w:sz w:val="32"/>
          <w:szCs w:val="32"/>
          <w:u w:val="single"/>
          <w:lang w:val="en-US" w:eastAsia="zh-CN" w:bidi="ar-SA"/>
        </w:rPr>
        <w:t>湖南科伦制药有限公司岳阳分公司</w:t>
      </w:r>
      <w:r>
        <w:rPr>
          <w:rFonts w:hint="eastAsia" w:ascii="Times New Roman" w:hAnsi="Times New Roman" w:eastAsia="宋体" w:cs="Times New Roman"/>
          <w:color w:val="auto"/>
          <w:kern w:val="0"/>
          <w:sz w:val="32"/>
          <w:szCs w:val="32"/>
          <w:u w:val="single"/>
          <w:lang w:val="en-US" w:eastAsia="zh-CN" w:bidi="ar-SA"/>
        </w:rPr>
        <w:t xml:space="preserve">   </w:t>
      </w:r>
    </w:p>
    <w:p>
      <w:pPr>
        <w:pStyle w:val="10"/>
        <w:ind w:firstLine="640" w:firstLineChars="200"/>
        <w:rPr>
          <w:rFonts w:hint="default" w:ascii="Times New Roman" w:hAnsi="Times New Roman" w:eastAsia="宋体" w:cs="Times New Roman"/>
          <w:color w:val="auto"/>
          <w:sz w:val="32"/>
          <w:szCs w:val="32"/>
          <w:u w:val="single"/>
          <w:lang w:val="en-US" w:eastAsia="zh-CN"/>
        </w:rPr>
      </w:pPr>
      <w:r>
        <w:rPr>
          <w:rFonts w:hint="default" w:ascii="Times New Roman" w:hAnsi="Times New Roman" w:eastAsia="宋体" w:cs="Times New Roman"/>
          <w:color w:val="auto"/>
          <w:sz w:val="32"/>
          <w:szCs w:val="32"/>
          <w:u w:val="single"/>
          <w:lang w:eastAsia="zh-CN"/>
        </w:rPr>
        <w:t>编制单位：</w:t>
      </w:r>
      <w:r>
        <w:rPr>
          <w:rFonts w:hint="eastAsia" w:ascii="Times New Roman" w:hAnsi="Times New Roman" w:eastAsia="宋体" w:cs="Times New Roman"/>
          <w:color w:val="auto"/>
          <w:sz w:val="32"/>
          <w:szCs w:val="32"/>
          <w:u w:val="single"/>
          <w:lang w:val="en-US" w:eastAsia="zh-CN"/>
        </w:rPr>
        <w:t xml:space="preserve">      </w:t>
      </w:r>
      <w:r>
        <w:rPr>
          <w:rFonts w:hint="default" w:ascii="Times New Roman" w:hAnsi="Times New Roman" w:eastAsia="宋体" w:cs="Times New Roman"/>
          <w:color w:val="auto"/>
          <w:sz w:val="32"/>
          <w:szCs w:val="32"/>
          <w:u w:val="single"/>
          <w:lang w:eastAsia="zh-CN"/>
        </w:rPr>
        <w:t>湖南衡润科技有限公司</w:t>
      </w:r>
      <w:r>
        <w:rPr>
          <w:rFonts w:hint="eastAsia" w:ascii="Times New Roman" w:hAnsi="Times New Roman" w:eastAsia="宋体" w:cs="Times New Roman"/>
          <w:color w:val="auto"/>
          <w:sz w:val="32"/>
          <w:szCs w:val="32"/>
          <w:u w:val="single"/>
          <w:lang w:val="en-US" w:eastAsia="zh-CN"/>
        </w:rPr>
        <w:t xml:space="preserve">       </w:t>
      </w:r>
    </w:p>
    <w:p>
      <w:pPr>
        <w:autoSpaceDE/>
        <w:autoSpaceDN/>
        <w:spacing w:line="360" w:lineRule="auto"/>
        <w:jc w:val="center"/>
        <w:rPr>
          <w:rFonts w:hint="default" w:ascii="Times New Roman" w:hAnsi="Times New Roman" w:eastAsia="宋体" w:cs="Times New Roman"/>
          <w:color w:val="auto"/>
          <w:sz w:val="32"/>
          <w:szCs w:val="32"/>
          <w:lang w:eastAsia="zh-CN"/>
        </w:rPr>
        <w:sectPr>
          <w:headerReference r:id="rId4" w:type="first"/>
          <w:headerReference r:id="rId3" w:type="default"/>
          <w:pgSz w:w="11906" w:h="16838"/>
          <w:pgMar w:top="1440" w:right="1803" w:bottom="1440" w:left="1803" w:header="850" w:footer="992" w:gutter="0"/>
          <w:pgBorders>
            <w:top w:val="none" w:sz="0" w:space="0"/>
            <w:left w:val="none" w:sz="0" w:space="0"/>
            <w:bottom w:val="none" w:sz="0" w:space="0"/>
            <w:right w:val="none" w:sz="0" w:space="0"/>
          </w:pgBorders>
          <w:cols w:space="720" w:num="1"/>
          <w:docGrid w:type="lines" w:linePitch="312" w:charSpace="0"/>
        </w:sectPr>
      </w:pPr>
      <w:r>
        <w:rPr>
          <w:rFonts w:hint="default" w:ascii="Times New Roman" w:hAnsi="Times New Roman" w:eastAsia="宋体" w:cs="Times New Roman"/>
          <w:color w:val="auto"/>
          <w:sz w:val="32"/>
          <w:szCs w:val="32"/>
          <w:lang w:eastAsia="zh-CN"/>
        </w:rPr>
        <w:t>二零二一年</w:t>
      </w:r>
      <w:r>
        <w:rPr>
          <w:rFonts w:hint="eastAsia" w:ascii="Times New Roman" w:hAnsi="Times New Roman" w:eastAsia="宋体" w:cs="Times New Roman"/>
          <w:color w:val="auto"/>
          <w:sz w:val="32"/>
          <w:szCs w:val="32"/>
          <w:lang w:eastAsia="zh-CN"/>
        </w:rPr>
        <w:t>六</w:t>
      </w:r>
      <w:r>
        <w:rPr>
          <w:rFonts w:hint="default" w:ascii="Times New Roman" w:hAnsi="Times New Roman" w:eastAsia="宋体" w:cs="Times New Roman"/>
          <w:color w:val="auto"/>
          <w:sz w:val="32"/>
          <w:szCs w:val="32"/>
          <w:lang w:eastAsia="zh-CN"/>
        </w:rPr>
        <w:t>月</w:t>
      </w:r>
    </w:p>
    <w:tbl>
      <w:tblPr>
        <w:tblStyle w:val="18"/>
        <w:tblW w:w="8522" w:type="dxa"/>
        <w:jc w:val="center"/>
        <w:tblLayout w:type="fixed"/>
        <w:tblCellMar>
          <w:top w:w="0" w:type="dxa"/>
          <w:left w:w="108" w:type="dxa"/>
          <w:bottom w:w="0" w:type="dxa"/>
          <w:right w:w="108" w:type="dxa"/>
        </w:tblCellMar>
      </w:tblPr>
      <w:tblGrid>
        <w:gridCol w:w="3484"/>
        <w:gridCol w:w="5038"/>
      </w:tblGrid>
      <w:tr>
        <w:tblPrEx>
          <w:tblCellMar>
            <w:top w:w="0" w:type="dxa"/>
            <w:left w:w="108" w:type="dxa"/>
            <w:bottom w:w="0" w:type="dxa"/>
            <w:right w:w="108" w:type="dxa"/>
          </w:tblCellMar>
        </w:tblPrEx>
        <w:trPr>
          <w:trHeight w:val="737" w:hRule="atLeast"/>
          <w:jc w:val="center"/>
        </w:trPr>
        <w:tc>
          <w:tcPr>
            <w:tcW w:w="3484" w:type="dxa"/>
            <w:noWrap w:val="0"/>
            <w:vAlign w:val="center"/>
          </w:tcPr>
          <w:p>
            <w:pPr>
              <w:ind w:firstLine="0" w:firstLineChars="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建设单位法人代表签字：</w:t>
            </w:r>
          </w:p>
        </w:tc>
        <w:tc>
          <w:tcPr>
            <w:tcW w:w="5038" w:type="dxa"/>
            <w:noWrap w:val="0"/>
            <w:vAlign w:val="center"/>
          </w:tcPr>
          <w:p>
            <w:pPr>
              <w:ind w:firstLine="560"/>
              <w:jc w:val="left"/>
              <w:rPr>
                <w:rFonts w:hint="default" w:ascii="Times New Roman" w:hAnsi="Times New Roman" w:eastAsia="宋体" w:cs="Times New Roman"/>
                <w:color w:val="auto"/>
                <w:sz w:val="28"/>
                <w:szCs w:val="28"/>
              </w:rPr>
            </w:pPr>
          </w:p>
        </w:tc>
      </w:tr>
      <w:tr>
        <w:tblPrEx>
          <w:tblCellMar>
            <w:top w:w="0" w:type="dxa"/>
            <w:left w:w="108" w:type="dxa"/>
            <w:bottom w:w="0" w:type="dxa"/>
            <w:right w:w="108" w:type="dxa"/>
          </w:tblCellMar>
        </w:tblPrEx>
        <w:trPr>
          <w:trHeight w:val="737" w:hRule="atLeast"/>
          <w:jc w:val="center"/>
        </w:trPr>
        <w:tc>
          <w:tcPr>
            <w:tcW w:w="3484" w:type="dxa"/>
            <w:noWrap w:val="0"/>
            <w:vAlign w:val="center"/>
          </w:tcPr>
          <w:p>
            <w:pPr>
              <w:ind w:firstLine="0" w:firstLineChars="0"/>
              <w:jc w:val="distribute"/>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编制单位法人代表签字：</w:t>
            </w:r>
          </w:p>
        </w:tc>
        <w:tc>
          <w:tcPr>
            <w:tcW w:w="5038" w:type="dxa"/>
            <w:noWrap w:val="0"/>
            <w:vAlign w:val="center"/>
          </w:tcPr>
          <w:p>
            <w:pPr>
              <w:ind w:firstLine="560"/>
              <w:jc w:val="left"/>
              <w:rPr>
                <w:rFonts w:hint="default" w:ascii="Times New Roman" w:hAnsi="Times New Roman" w:eastAsia="宋体" w:cs="Times New Roman"/>
                <w:color w:val="auto"/>
                <w:sz w:val="28"/>
                <w:szCs w:val="28"/>
              </w:rPr>
            </w:pPr>
          </w:p>
        </w:tc>
      </w:tr>
      <w:tr>
        <w:tblPrEx>
          <w:tblCellMar>
            <w:top w:w="0" w:type="dxa"/>
            <w:left w:w="108" w:type="dxa"/>
            <w:bottom w:w="0" w:type="dxa"/>
            <w:right w:w="108" w:type="dxa"/>
          </w:tblCellMar>
        </w:tblPrEx>
        <w:trPr>
          <w:trHeight w:val="737" w:hRule="atLeast"/>
          <w:jc w:val="center"/>
        </w:trPr>
        <w:tc>
          <w:tcPr>
            <w:tcW w:w="3484" w:type="dxa"/>
            <w:noWrap w:val="0"/>
            <w:vAlign w:val="center"/>
          </w:tcPr>
          <w:p>
            <w:pPr>
              <w:ind w:firstLine="0" w:firstLineChars="0"/>
              <w:jc w:val="distribute"/>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项 目 负 责 人：</w:t>
            </w:r>
          </w:p>
        </w:tc>
        <w:tc>
          <w:tcPr>
            <w:tcW w:w="5038" w:type="dxa"/>
            <w:noWrap w:val="0"/>
            <w:vAlign w:val="center"/>
          </w:tcPr>
          <w:p>
            <w:pPr>
              <w:ind w:firstLine="560"/>
              <w:jc w:val="left"/>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 xml:space="preserve">  </w:t>
            </w:r>
          </w:p>
        </w:tc>
      </w:tr>
      <w:tr>
        <w:tblPrEx>
          <w:tblCellMar>
            <w:top w:w="0" w:type="dxa"/>
            <w:left w:w="108" w:type="dxa"/>
            <w:bottom w:w="0" w:type="dxa"/>
            <w:right w:w="108" w:type="dxa"/>
          </w:tblCellMar>
        </w:tblPrEx>
        <w:trPr>
          <w:trHeight w:val="737" w:hRule="atLeast"/>
          <w:jc w:val="center"/>
        </w:trPr>
        <w:tc>
          <w:tcPr>
            <w:tcW w:w="3484" w:type="dxa"/>
            <w:noWrap w:val="0"/>
            <w:vAlign w:val="center"/>
          </w:tcPr>
          <w:p>
            <w:pPr>
              <w:ind w:firstLine="0" w:firstLineChars="0"/>
              <w:jc w:val="distribute"/>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报 告 编 写 人：</w:t>
            </w:r>
          </w:p>
        </w:tc>
        <w:tc>
          <w:tcPr>
            <w:tcW w:w="5038" w:type="dxa"/>
            <w:noWrap w:val="0"/>
            <w:vAlign w:val="center"/>
          </w:tcPr>
          <w:p>
            <w:pPr>
              <w:ind w:firstLine="560"/>
              <w:jc w:val="left"/>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郭  婷</w:t>
            </w:r>
          </w:p>
        </w:tc>
      </w:tr>
    </w:tbl>
    <w:p>
      <w:pPr>
        <w:spacing w:line="360" w:lineRule="auto"/>
        <w:rPr>
          <w:rFonts w:hint="default" w:ascii="Times New Roman" w:hAnsi="Times New Roman" w:eastAsia="宋体" w:cs="Times New Roman"/>
          <w:b/>
          <w:bCs/>
          <w:color w:val="auto"/>
          <w:sz w:val="28"/>
          <w:shd w:val="pct10" w:color="auto" w:fill="FFFFFF"/>
          <w:lang w:eastAsia="zh-CN"/>
        </w:rPr>
      </w:pPr>
    </w:p>
    <w:p>
      <w:pPr>
        <w:pStyle w:val="10"/>
        <w:rPr>
          <w:rFonts w:hint="default" w:ascii="Times New Roman" w:hAnsi="Times New Roman" w:eastAsia="宋体" w:cs="Times New Roman"/>
          <w:b/>
          <w:bCs/>
          <w:color w:val="auto"/>
          <w:sz w:val="28"/>
          <w:shd w:val="pct10" w:color="auto" w:fill="FFFFFF"/>
          <w:lang w:eastAsia="zh-CN"/>
        </w:rPr>
      </w:pPr>
    </w:p>
    <w:tbl>
      <w:tblPr>
        <w:tblStyle w:val="18"/>
        <w:tblpPr w:leftFromText="180" w:rightFromText="180" w:vertAnchor="text" w:horzAnchor="page" w:tblpX="1617" w:tblpY="4702"/>
        <w:tblOverlap w:val="never"/>
        <w:tblW w:w="9088" w:type="dxa"/>
        <w:tblInd w:w="0" w:type="dxa"/>
        <w:tblLayout w:type="fixed"/>
        <w:tblCellMar>
          <w:top w:w="0" w:type="dxa"/>
          <w:left w:w="108" w:type="dxa"/>
          <w:bottom w:w="0" w:type="dxa"/>
          <w:right w:w="108" w:type="dxa"/>
        </w:tblCellMar>
      </w:tblPr>
      <w:tblGrid>
        <w:gridCol w:w="4601"/>
        <w:gridCol w:w="4487"/>
      </w:tblGrid>
      <w:tr>
        <w:tblPrEx>
          <w:tblCellMar>
            <w:top w:w="0" w:type="dxa"/>
            <w:left w:w="108" w:type="dxa"/>
            <w:bottom w:w="0" w:type="dxa"/>
            <w:right w:w="108" w:type="dxa"/>
          </w:tblCellMar>
        </w:tblPrEx>
        <w:trPr>
          <w:trHeight w:val="737" w:hRule="atLeast"/>
        </w:trPr>
        <w:tc>
          <w:tcPr>
            <w:tcW w:w="4601" w:type="dxa"/>
            <w:noWrap w:val="0"/>
            <w:vAlign w:val="center"/>
          </w:tcPr>
          <w:p>
            <w:pPr>
              <w:ind w:left="1050" w:hanging="1050" w:hangingChars="5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建设单位：</w:t>
            </w:r>
            <w:r>
              <w:rPr>
                <w:rFonts w:hint="default" w:ascii="Times New Roman" w:hAnsi="Times New Roman" w:eastAsia="宋体" w:cs="Times New Roman"/>
                <w:color w:val="auto"/>
                <w:sz w:val="21"/>
                <w:szCs w:val="21"/>
                <w:lang w:val="en-US" w:eastAsia="zh-CN"/>
              </w:rPr>
              <w:t>湖南科伦制药有限公司岳阳分公司</w:t>
            </w:r>
            <w:r>
              <w:rPr>
                <w:rFonts w:hint="default" w:ascii="Times New Roman" w:hAnsi="Times New Roman" w:eastAsia="宋体" w:cs="Times New Roman"/>
                <w:color w:val="auto"/>
                <w:sz w:val="21"/>
                <w:szCs w:val="21"/>
              </w:rPr>
              <w:t>（盖章）</w:t>
            </w:r>
          </w:p>
        </w:tc>
        <w:tc>
          <w:tcPr>
            <w:tcW w:w="4487" w:type="dxa"/>
            <w:noWrap w:val="0"/>
            <w:vAlign w:val="center"/>
          </w:tcPr>
          <w:p>
            <w:pPr>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编制单位：</w:t>
            </w:r>
            <w:r>
              <w:rPr>
                <w:rFonts w:hint="default" w:ascii="Times New Roman" w:hAnsi="Times New Roman" w:eastAsia="宋体" w:cs="Times New Roman"/>
                <w:color w:val="auto"/>
                <w:sz w:val="21"/>
                <w:szCs w:val="21"/>
                <w:lang w:eastAsia="zh-CN"/>
              </w:rPr>
              <w:t>湖南</w:t>
            </w:r>
            <w:r>
              <w:rPr>
                <w:rFonts w:hint="default" w:ascii="Times New Roman" w:hAnsi="Times New Roman" w:eastAsia="宋体" w:cs="Times New Roman"/>
                <w:color w:val="auto"/>
                <w:sz w:val="21"/>
                <w:szCs w:val="21"/>
              </w:rPr>
              <w:t>衡润</w:t>
            </w:r>
            <w:r>
              <w:rPr>
                <w:rFonts w:hint="default" w:ascii="Times New Roman" w:hAnsi="Times New Roman" w:eastAsia="宋体" w:cs="Times New Roman"/>
                <w:color w:val="auto"/>
                <w:sz w:val="21"/>
                <w:szCs w:val="21"/>
                <w:lang w:eastAsia="zh-CN"/>
              </w:rPr>
              <w:t>科技</w:t>
            </w:r>
            <w:r>
              <w:rPr>
                <w:rFonts w:hint="default" w:ascii="Times New Roman" w:hAnsi="Times New Roman" w:eastAsia="宋体" w:cs="Times New Roman"/>
                <w:color w:val="auto"/>
                <w:sz w:val="21"/>
                <w:szCs w:val="21"/>
              </w:rPr>
              <w:t>有限公司（盖章）</w:t>
            </w:r>
          </w:p>
        </w:tc>
      </w:tr>
      <w:tr>
        <w:tblPrEx>
          <w:tblCellMar>
            <w:top w:w="0" w:type="dxa"/>
            <w:left w:w="108" w:type="dxa"/>
            <w:bottom w:w="0" w:type="dxa"/>
            <w:right w:w="108" w:type="dxa"/>
          </w:tblCellMar>
        </w:tblPrEx>
        <w:trPr>
          <w:trHeight w:val="737" w:hRule="atLeast"/>
        </w:trPr>
        <w:tc>
          <w:tcPr>
            <w:tcW w:w="4601" w:type="dxa"/>
            <w:noWrap w:val="0"/>
            <w:vAlign w:val="center"/>
          </w:tcPr>
          <w:p>
            <w:pPr>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    话：</w:t>
            </w:r>
          </w:p>
        </w:tc>
        <w:tc>
          <w:tcPr>
            <w:tcW w:w="4487" w:type="dxa"/>
            <w:noWrap w:val="0"/>
            <w:vAlign w:val="center"/>
          </w:tcPr>
          <w:p>
            <w:pPr>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    话：0730-2295955</w:t>
            </w:r>
          </w:p>
        </w:tc>
      </w:tr>
      <w:tr>
        <w:tblPrEx>
          <w:tblCellMar>
            <w:top w:w="0" w:type="dxa"/>
            <w:left w:w="108" w:type="dxa"/>
            <w:bottom w:w="0" w:type="dxa"/>
            <w:right w:w="108" w:type="dxa"/>
          </w:tblCellMar>
        </w:tblPrEx>
        <w:trPr>
          <w:trHeight w:val="737" w:hRule="atLeast"/>
        </w:trPr>
        <w:tc>
          <w:tcPr>
            <w:tcW w:w="4601" w:type="dxa"/>
            <w:noWrap w:val="0"/>
            <w:vAlign w:val="center"/>
          </w:tcPr>
          <w:p>
            <w:pPr>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传    真：</w:t>
            </w:r>
          </w:p>
        </w:tc>
        <w:tc>
          <w:tcPr>
            <w:tcW w:w="4487" w:type="dxa"/>
            <w:noWrap w:val="0"/>
            <w:vAlign w:val="center"/>
          </w:tcPr>
          <w:p>
            <w:pPr>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传    真：0730-2295955</w:t>
            </w:r>
          </w:p>
        </w:tc>
      </w:tr>
      <w:tr>
        <w:tblPrEx>
          <w:tblCellMar>
            <w:top w:w="0" w:type="dxa"/>
            <w:left w:w="108" w:type="dxa"/>
            <w:bottom w:w="0" w:type="dxa"/>
            <w:right w:w="108" w:type="dxa"/>
          </w:tblCellMar>
        </w:tblPrEx>
        <w:trPr>
          <w:trHeight w:val="737" w:hRule="atLeast"/>
        </w:trPr>
        <w:tc>
          <w:tcPr>
            <w:tcW w:w="4601" w:type="dxa"/>
            <w:noWrap w:val="0"/>
            <w:vAlign w:val="center"/>
          </w:tcPr>
          <w:p>
            <w:pPr>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邮    编：414</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00</w:t>
            </w:r>
          </w:p>
        </w:tc>
        <w:tc>
          <w:tcPr>
            <w:tcW w:w="4487" w:type="dxa"/>
            <w:noWrap w:val="0"/>
            <w:vAlign w:val="center"/>
          </w:tcPr>
          <w:p>
            <w:pPr>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邮    编：414000</w:t>
            </w:r>
          </w:p>
        </w:tc>
      </w:tr>
      <w:tr>
        <w:tblPrEx>
          <w:tblCellMar>
            <w:top w:w="0" w:type="dxa"/>
            <w:left w:w="108" w:type="dxa"/>
            <w:bottom w:w="0" w:type="dxa"/>
            <w:right w:w="108" w:type="dxa"/>
          </w:tblCellMar>
        </w:tblPrEx>
        <w:trPr>
          <w:trHeight w:val="737" w:hRule="atLeast"/>
        </w:trPr>
        <w:tc>
          <w:tcPr>
            <w:tcW w:w="4601" w:type="dxa"/>
            <w:noWrap w:val="0"/>
            <w:vAlign w:val="center"/>
          </w:tcPr>
          <w:p>
            <w:pP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地    址：</w:t>
            </w:r>
            <w:r>
              <w:rPr>
                <w:rFonts w:hint="default" w:ascii="Times New Roman" w:hAnsi="Times New Roman" w:eastAsia="宋体" w:cs="Times New Roman"/>
                <w:color w:val="auto"/>
                <w:sz w:val="21"/>
                <w:szCs w:val="21"/>
                <w:lang w:eastAsia="zh-CN"/>
              </w:rPr>
              <w:t>岳阳市经济开发区康王工业园奇西路湖南科伦制药有限公司岳阳分公司办公楼北侧</w:t>
            </w:r>
          </w:p>
        </w:tc>
        <w:tc>
          <w:tcPr>
            <w:tcW w:w="4487" w:type="dxa"/>
            <w:noWrap w:val="0"/>
            <w:vAlign w:val="center"/>
          </w:tcPr>
          <w:p>
            <w:pPr>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    址：岳阳市新港区长湖路</w:t>
            </w:r>
          </w:p>
        </w:tc>
      </w:tr>
    </w:tbl>
    <w:p>
      <w:pPr>
        <w:rPr>
          <w:rFonts w:hint="default" w:ascii="Times New Roman" w:hAnsi="Times New Roman" w:eastAsia="宋体" w:cs="Times New Roman"/>
          <w:b/>
          <w:bCs/>
          <w:color w:val="auto"/>
          <w:sz w:val="28"/>
          <w:shd w:val="pct10" w:color="auto" w:fill="FFFFFF"/>
          <w:lang w:eastAsia="zh-CN"/>
        </w:rPr>
      </w:pPr>
    </w:p>
    <w:p>
      <w:pPr>
        <w:pStyle w:val="10"/>
        <w:rPr>
          <w:rFonts w:hint="default" w:ascii="Times New Roman" w:hAnsi="Times New Roman" w:eastAsia="宋体" w:cs="Times New Roman"/>
          <w:b/>
          <w:bCs/>
          <w:color w:val="auto"/>
          <w:sz w:val="28"/>
          <w:shd w:val="pct10" w:color="auto" w:fill="FFFFFF"/>
          <w:lang w:eastAsia="zh-CN"/>
        </w:rPr>
      </w:pPr>
    </w:p>
    <w:p>
      <w:pPr>
        <w:rPr>
          <w:rFonts w:hint="default" w:ascii="Times New Roman" w:hAnsi="Times New Roman" w:eastAsia="宋体" w:cs="Times New Roman"/>
          <w:color w:val="auto"/>
          <w:lang w:eastAsia="zh-CN"/>
        </w:rPr>
      </w:pPr>
    </w:p>
    <w:p>
      <w:pPr>
        <w:widowControl/>
        <w:autoSpaceDE/>
        <w:autoSpaceDN/>
        <w:rPr>
          <w:rFonts w:hint="default" w:ascii="Times New Roman" w:hAnsi="Times New Roman" w:eastAsia="宋体" w:cs="Times New Roman"/>
          <w:b/>
          <w:color w:val="auto"/>
          <w:sz w:val="24"/>
          <w:szCs w:val="24"/>
          <w:lang w:eastAsia="zh-CN"/>
        </w:rPr>
      </w:pPr>
    </w:p>
    <w:p>
      <w:pPr>
        <w:widowControl/>
        <w:autoSpaceDE/>
        <w:autoSpaceDN/>
        <w:rPr>
          <w:rFonts w:hint="default" w:ascii="Times New Roman" w:hAnsi="Times New Roman" w:eastAsia="宋体" w:cs="Times New Roman"/>
          <w:b/>
          <w:color w:val="auto"/>
          <w:sz w:val="24"/>
          <w:szCs w:val="24"/>
          <w:lang w:eastAsia="zh-CN"/>
        </w:rPr>
      </w:pPr>
    </w:p>
    <w:p>
      <w:pPr>
        <w:widowControl/>
        <w:autoSpaceDE/>
        <w:autoSpaceDN/>
        <w:rPr>
          <w:rFonts w:hint="default" w:ascii="Times New Roman" w:hAnsi="Times New Roman" w:eastAsia="宋体" w:cs="Times New Roman"/>
          <w:b/>
          <w:color w:val="auto"/>
          <w:sz w:val="24"/>
          <w:szCs w:val="24"/>
          <w:lang w:eastAsia="zh-CN"/>
        </w:rPr>
      </w:pPr>
    </w:p>
    <w:p>
      <w:pPr>
        <w:widowControl/>
        <w:autoSpaceDE/>
        <w:autoSpaceDN/>
        <w:rPr>
          <w:rFonts w:hint="default" w:ascii="Times New Roman" w:hAnsi="Times New Roman" w:eastAsia="宋体" w:cs="Times New Roman"/>
          <w:b/>
          <w:color w:val="auto"/>
          <w:sz w:val="24"/>
          <w:szCs w:val="24"/>
          <w:lang w:eastAsia="zh-CN"/>
        </w:rPr>
      </w:pPr>
    </w:p>
    <w:p>
      <w:pPr>
        <w:widowControl/>
        <w:autoSpaceDE/>
        <w:autoSpaceDN/>
        <w:rPr>
          <w:rFonts w:hint="default" w:ascii="Times New Roman" w:hAnsi="Times New Roman" w:eastAsia="宋体" w:cs="Times New Roman"/>
          <w:b/>
          <w:color w:val="auto"/>
          <w:sz w:val="24"/>
          <w:szCs w:val="24"/>
          <w:lang w:eastAsia="zh-CN"/>
        </w:rPr>
      </w:pPr>
    </w:p>
    <w:p>
      <w:pPr>
        <w:widowControl/>
        <w:autoSpaceDE/>
        <w:autoSpaceDN/>
        <w:rPr>
          <w:rFonts w:hint="default" w:ascii="Times New Roman" w:hAnsi="Times New Roman" w:eastAsia="宋体" w:cs="Times New Roman"/>
          <w:b/>
          <w:color w:val="auto"/>
          <w:sz w:val="24"/>
          <w:szCs w:val="24"/>
          <w:lang w:eastAsia="zh-CN"/>
        </w:rPr>
      </w:pPr>
    </w:p>
    <w:p>
      <w:pPr>
        <w:widowControl/>
        <w:autoSpaceDE/>
        <w:autoSpaceDN/>
        <w:rPr>
          <w:rFonts w:hint="default" w:ascii="Times New Roman" w:hAnsi="Times New Roman" w:eastAsia="宋体" w:cs="Times New Roman"/>
          <w:b/>
          <w:color w:val="auto"/>
          <w:sz w:val="24"/>
          <w:szCs w:val="24"/>
          <w:lang w:eastAsia="zh-CN"/>
        </w:rPr>
      </w:pPr>
    </w:p>
    <w:p>
      <w:pPr>
        <w:widowControl/>
        <w:autoSpaceDE/>
        <w:autoSpaceDN/>
        <w:rPr>
          <w:rFonts w:hint="default" w:ascii="Times New Roman" w:hAnsi="Times New Roman" w:eastAsia="宋体" w:cs="Times New Roman"/>
          <w:b/>
          <w:color w:val="auto"/>
          <w:sz w:val="24"/>
          <w:szCs w:val="24"/>
          <w:lang w:eastAsia="zh-CN"/>
        </w:rPr>
      </w:pPr>
    </w:p>
    <w:p>
      <w:pPr>
        <w:widowControl/>
        <w:autoSpaceDE/>
        <w:autoSpaceDN/>
        <w:rPr>
          <w:rFonts w:hint="default" w:ascii="Times New Roman" w:hAnsi="Times New Roman" w:eastAsia="宋体" w:cs="Times New Roman"/>
          <w:b/>
          <w:color w:val="auto"/>
          <w:sz w:val="24"/>
          <w:szCs w:val="24"/>
          <w:lang w:eastAsia="zh-CN"/>
        </w:rPr>
      </w:pPr>
    </w:p>
    <w:p>
      <w:pPr>
        <w:widowControl/>
        <w:autoSpaceDE/>
        <w:autoSpaceDN/>
        <w:rPr>
          <w:rFonts w:hint="default" w:ascii="Times New Roman" w:hAnsi="Times New Roman" w:eastAsia="宋体" w:cs="Times New Roman"/>
          <w:b/>
          <w:color w:val="auto"/>
          <w:sz w:val="24"/>
          <w:szCs w:val="24"/>
          <w:lang w:eastAsia="zh-CN"/>
        </w:rPr>
      </w:pPr>
    </w:p>
    <w:p>
      <w:pPr>
        <w:widowControl/>
        <w:autoSpaceDE/>
        <w:autoSpaceDN/>
        <w:rPr>
          <w:rFonts w:hint="default" w:ascii="Times New Roman" w:hAnsi="Times New Roman" w:eastAsia="宋体" w:cs="Times New Roman"/>
          <w:b/>
          <w:color w:val="auto"/>
          <w:sz w:val="24"/>
          <w:szCs w:val="24"/>
          <w:lang w:eastAsia="zh-CN"/>
        </w:rPr>
        <w:sectPr>
          <w:head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b/>
          <w:color w:val="auto"/>
          <w:sz w:val="24"/>
          <w:szCs w:val="24"/>
          <w:lang w:eastAsia="zh-CN"/>
        </w:rPr>
        <w:br w:type="page"/>
      </w:r>
    </w:p>
    <w:p>
      <w:pPr>
        <w:spacing w:line="386" w:lineRule="exact"/>
        <w:rPr>
          <w:rFonts w:hint="default" w:ascii="Times New Roman" w:hAnsi="Times New Roman" w:eastAsia="宋体" w:cs="Times New Roman"/>
          <w:color w:val="auto"/>
          <w:sz w:val="3"/>
        </w:rPr>
      </w:pPr>
      <w:r>
        <w:rPr>
          <w:rFonts w:hint="default" w:ascii="Times New Roman" w:hAnsi="Times New Roman" w:eastAsia="宋体" w:cs="Times New Roman"/>
          <w:b/>
          <w:color w:val="auto"/>
          <w:sz w:val="24"/>
          <w:szCs w:val="24"/>
        </w:rPr>
        <w:t>表一</w:t>
      </w:r>
    </w:p>
    <w:tbl>
      <w:tblPr>
        <w:tblStyle w:val="18"/>
        <w:tblW w:w="511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58"/>
        <w:gridCol w:w="2250"/>
        <w:gridCol w:w="2195"/>
        <w:gridCol w:w="810"/>
        <w:gridCol w:w="778"/>
        <w:gridCol w:w="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916" w:type="pct"/>
            <w:vAlign w:val="bottom"/>
          </w:tcPr>
          <w:p>
            <w:pPr>
              <w:pStyle w:val="25"/>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建设项目名称</w:t>
            </w:r>
          </w:p>
        </w:tc>
        <w:tc>
          <w:tcPr>
            <w:tcW w:w="4083" w:type="pct"/>
            <w:gridSpan w:val="5"/>
            <w:vAlign w:val="bottom"/>
          </w:tcPr>
          <w:p>
            <w:pPr>
              <w:pStyle w:val="25"/>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湖南科伦制药有限公司岳阳分公司综合制剂二扩建项目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916" w:type="pct"/>
            <w:vAlign w:val="bottom"/>
          </w:tcPr>
          <w:p>
            <w:pPr>
              <w:pStyle w:val="25"/>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建设单位名称</w:t>
            </w:r>
          </w:p>
        </w:tc>
        <w:tc>
          <w:tcPr>
            <w:tcW w:w="4083" w:type="pct"/>
            <w:gridSpan w:val="5"/>
            <w:vAlign w:val="bottom"/>
          </w:tcPr>
          <w:p>
            <w:pPr>
              <w:pStyle w:val="25"/>
              <w:ind w:firstLine="1440" w:firstLineChars="600"/>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Cs/>
                <w:color w:val="auto"/>
                <w:sz w:val="24"/>
                <w:szCs w:val="24"/>
              </w:rPr>
              <w:t>湖南科伦制药有限公司岳阳分公司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916" w:type="pct"/>
            <w:vAlign w:val="bottom"/>
          </w:tcPr>
          <w:p>
            <w:pPr>
              <w:pStyle w:val="25"/>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建设项目性质</w:t>
            </w:r>
          </w:p>
        </w:tc>
        <w:tc>
          <w:tcPr>
            <w:tcW w:w="4083" w:type="pct"/>
            <w:gridSpan w:val="5"/>
            <w:vAlign w:val="bottom"/>
          </w:tcPr>
          <w:p>
            <w:pPr>
              <w:adjustRightInd w:val="0"/>
              <w:snapToGrid w:val="0"/>
              <w:spacing w:line="440" w:lineRule="exact"/>
              <w:ind w:firstLine="480" w:firstLineChars="20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kern w:val="0"/>
                <w:sz w:val="24"/>
                <w:szCs w:val="24"/>
              </w:rPr>
              <w:t>扩建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916" w:type="pct"/>
            <w:vAlign w:val="center"/>
          </w:tcPr>
          <w:p>
            <w:pPr>
              <w:pStyle w:val="25"/>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建设地点</w:t>
            </w:r>
          </w:p>
        </w:tc>
        <w:tc>
          <w:tcPr>
            <w:tcW w:w="4083" w:type="pct"/>
            <w:gridSpan w:val="5"/>
            <w:vAlign w:val="center"/>
          </w:tcPr>
          <w:p>
            <w:pPr>
              <w:pStyle w:val="25"/>
              <w:ind w:firstLine="720" w:firstLineChars="300"/>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Cs/>
                <w:color w:val="auto"/>
                <w:sz w:val="24"/>
                <w:szCs w:val="24"/>
              </w:rPr>
              <w:t>湖南科伦制药有限公司岳阳分公司办公楼北侧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916" w:type="pct"/>
            <w:vAlign w:val="center"/>
          </w:tcPr>
          <w:p>
            <w:pPr>
              <w:pStyle w:val="25"/>
              <w:rPr>
                <w:rFonts w:hint="default" w:ascii="Times New Roman" w:hAnsi="Times New Roman" w:eastAsia="宋体" w:cs="Times New Roman"/>
                <w:b/>
                <w:bCs/>
                <w:color w:val="auto"/>
                <w:sz w:val="24"/>
                <w:szCs w:val="24"/>
                <w:highlight w:val="red"/>
                <w:lang w:eastAsia="zh-CN"/>
              </w:rPr>
            </w:pPr>
            <w:r>
              <w:rPr>
                <w:rFonts w:hint="default" w:ascii="Times New Roman" w:hAnsi="Times New Roman" w:eastAsia="宋体" w:cs="Times New Roman"/>
                <w:b/>
                <w:bCs/>
                <w:color w:val="auto"/>
                <w:sz w:val="24"/>
                <w:szCs w:val="24"/>
                <w:lang w:eastAsia="zh-CN"/>
              </w:rPr>
              <w:t>设计</w:t>
            </w:r>
            <w:r>
              <w:rPr>
                <w:rFonts w:hint="default" w:ascii="Times New Roman" w:hAnsi="Times New Roman" w:eastAsia="宋体" w:cs="Times New Roman"/>
                <w:b/>
                <w:bCs/>
                <w:color w:val="auto"/>
                <w:sz w:val="24"/>
                <w:szCs w:val="24"/>
                <w:lang w:val="en-US" w:eastAsia="zh-CN"/>
              </w:rPr>
              <w:t>生产</w:t>
            </w:r>
            <w:r>
              <w:rPr>
                <w:rFonts w:hint="default" w:ascii="Times New Roman" w:hAnsi="Times New Roman" w:eastAsia="宋体" w:cs="Times New Roman"/>
                <w:b/>
                <w:bCs/>
                <w:color w:val="auto"/>
                <w:sz w:val="24"/>
                <w:szCs w:val="24"/>
                <w:lang w:eastAsia="zh-CN"/>
              </w:rPr>
              <w:t>能力</w:t>
            </w:r>
          </w:p>
        </w:tc>
        <w:tc>
          <w:tcPr>
            <w:tcW w:w="4083" w:type="pct"/>
            <w:gridSpan w:val="5"/>
            <w:vAlign w:val="center"/>
          </w:tcPr>
          <w:p>
            <w:pPr>
              <w:pStyle w:val="9"/>
              <w:jc w:val="center"/>
              <w:rPr>
                <w:rFonts w:hint="default" w:ascii="Times New Roman" w:hAnsi="Times New Roman" w:eastAsia="宋体" w:cs="Times New Roman"/>
                <w:color w:val="auto"/>
                <w:sz w:val="24"/>
                <w:szCs w:val="24"/>
                <w:highlight w:val="red"/>
                <w:lang w:eastAsia="zh-CN"/>
              </w:rPr>
            </w:pPr>
            <w:r>
              <w:rPr>
                <w:rFonts w:hint="default" w:ascii="Times New Roman" w:hAnsi="Times New Roman" w:eastAsia="宋体" w:cs="Times New Roman"/>
                <w:color w:val="auto"/>
                <w:kern w:val="0"/>
                <w:sz w:val="24"/>
                <w:szCs w:val="24"/>
                <w:lang w:val="en-US" w:eastAsia="zh-CN" w:bidi="ar-SA"/>
              </w:rPr>
              <w:t>年生产卡巴他赛注射液（1.5ml）1350万支、盐酸吉西他滨注射液（20ml）1350万支、100mg注射用紫杉醇（白蛋白结合型）135万瓶、阿</w:t>
            </w:r>
            <w:r>
              <w:rPr>
                <w:rFonts w:hint="eastAsia" w:ascii="Times New Roman" w:hAnsi="Times New Roman" w:eastAsia="宋体" w:cs="Times New Roman"/>
                <w:color w:val="auto"/>
                <w:kern w:val="0"/>
                <w:sz w:val="24"/>
                <w:szCs w:val="24"/>
                <w:lang w:val="en-US" w:eastAsia="zh-CN" w:bidi="ar-SA"/>
              </w:rPr>
              <w:t>西</w:t>
            </w:r>
            <w:r>
              <w:rPr>
                <w:rFonts w:hint="default" w:ascii="Times New Roman" w:hAnsi="Times New Roman" w:eastAsia="宋体" w:cs="Times New Roman"/>
                <w:color w:val="auto"/>
                <w:kern w:val="0"/>
                <w:sz w:val="24"/>
                <w:szCs w:val="24"/>
                <w:lang w:val="en-US" w:eastAsia="zh-CN" w:bidi="ar-SA"/>
              </w:rPr>
              <w:t>替尼片5400万片。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6" w:hRule="atLeast"/>
          <w:jc w:val="center"/>
        </w:trPr>
        <w:tc>
          <w:tcPr>
            <w:tcW w:w="916" w:type="pct"/>
            <w:vAlign w:val="center"/>
          </w:tcPr>
          <w:p>
            <w:pPr>
              <w:pStyle w:val="25"/>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实际</w:t>
            </w:r>
            <w:r>
              <w:rPr>
                <w:rFonts w:hint="default" w:ascii="Times New Roman" w:hAnsi="Times New Roman" w:eastAsia="宋体" w:cs="Times New Roman"/>
                <w:b/>
                <w:bCs/>
                <w:color w:val="auto"/>
                <w:sz w:val="24"/>
                <w:szCs w:val="24"/>
                <w:lang w:val="en-US" w:eastAsia="zh-CN"/>
              </w:rPr>
              <w:t>生产</w:t>
            </w:r>
            <w:r>
              <w:rPr>
                <w:rFonts w:hint="default" w:ascii="Times New Roman" w:hAnsi="Times New Roman" w:eastAsia="宋体" w:cs="Times New Roman"/>
                <w:b/>
                <w:bCs/>
                <w:color w:val="auto"/>
                <w:sz w:val="24"/>
                <w:szCs w:val="24"/>
                <w:lang w:eastAsia="zh-CN"/>
              </w:rPr>
              <w:t>能力</w:t>
            </w:r>
          </w:p>
        </w:tc>
        <w:tc>
          <w:tcPr>
            <w:tcW w:w="4083" w:type="pct"/>
            <w:gridSpan w:val="5"/>
            <w:vAlign w:val="center"/>
          </w:tcPr>
          <w:p>
            <w:pPr>
              <w:pStyle w:val="9"/>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0"/>
                <w:sz w:val="24"/>
                <w:szCs w:val="24"/>
                <w:lang w:val="en-US" w:eastAsia="zh-CN" w:bidi="ar-SA"/>
              </w:rPr>
              <w:t>年生产卡巴他赛注射液（1.5ml）0万支、盐酸吉西他滨注射液（20ml）0万支、100mg注射用紫杉醇（白蛋白结合型）135万瓶、阿</w:t>
            </w:r>
            <w:r>
              <w:rPr>
                <w:rFonts w:hint="eastAsia" w:ascii="Times New Roman" w:hAnsi="Times New Roman" w:eastAsia="宋体" w:cs="Times New Roman"/>
                <w:color w:val="auto"/>
                <w:kern w:val="0"/>
                <w:sz w:val="24"/>
                <w:szCs w:val="24"/>
                <w:lang w:val="en-US" w:eastAsia="zh-CN" w:bidi="ar-SA"/>
              </w:rPr>
              <w:t>昔</w:t>
            </w:r>
            <w:r>
              <w:rPr>
                <w:rFonts w:hint="default" w:ascii="Times New Roman" w:hAnsi="Times New Roman" w:eastAsia="宋体" w:cs="Times New Roman"/>
                <w:color w:val="auto"/>
                <w:kern w:val="0"/>
                <w:sz w:val="24"/>
                <w:szCs w:val="24"/>
                <w:lang w:val="en-US" w:eastAsia="zh-CN" w:bidi="ar-SA"/>
              </w:rPr>
              <w:t>替尼片5400万片。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916" w:type="pct"/>
            <w:vAlign w:val="center"/>
          </w:tcPr>
          <w:p>
            <w:pPr>
              <w:pStyle w:val="25"/>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建设项目环评时间</w:t>
            </w:r>
          </w:p>
        </w:tc>
        <w:tc>
          <w:tcPr>
            <w:tcW w:w="1322" w:type="pct"/>
            <w:vAlign w:val="center"/>
          </w:tcPr>
          <w:p>
            <w:pPr>
              <w:pStyle w:val="25"/>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20</w:t>
            </w:r>
            <w:r>
              <w:rPr>
                <w:rFonts w:hint="default" w:ascii="Times New Roman" w:hAnsi="Times New Roman" w:eastAsia="宋体" w:cs="Times New Roman"/>
                <w:color w:val="auto"/>
                <w:sz w:val="24"/>
                <w:szCs w:val="24"/>
                <w:lang w:val="en-US" w:eastAsia="zh-CN"/>
              </w:rPr>
              <w:t>16</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6</w:t>
            </w:r>
          </w:p>
        </w:tc>
        <w:tc>
          <w:tcPr>
            <w:tcW w:w="1290" w:type="pct"/>
            <w:vAlign w:val="center"/>
          </w:tcPr>
          <w:p>
            <w:pPr>
              <w:pStyle w:val="25"/>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开工建设时间</w:t>
            </w:r>
          </w:p>
        </w:tc>
        <w:tc>
          <w:tcPr>
            <w:tcW w:w="1471" w:type="pct"/>
            <w:gridSpan w:val="3"/>
            <w:vAlign w:val="center"/>
          </w:tcPr>
          <w:p>
            <w:pPr>
              <w:pStyle w:val="25"/>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2016</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916" w:type="pct"/>
            <w:shd w:val="clear" w:color="auto" w:fill="auto"/>
            <w:vAlign w:val="center"/>
          </w:tcPr>
          <w:p>
            <w:pPr>
              <w:pStyle w:val="25"/>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试运行时间</w:t>
            </w:r>
          </w:p>
        </w:tc>
        <w:tc>
          <w:tcPr>
            <w:tcW w:w="1322" w:type="pct"/>
            <w:shd w:val="clear" w:color="auto" w:fill="auto"/>
            <w:vAlign w:val="center"/>
          </w:tcPr>
          <w:p>
            <w:pPr>
              <w:pStyle w:val="25"/>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color w:val="auto"/>
                <w:sz w:val="24"/>
                <w:szCs w:val="24"/>
                <w:lang w:val="en-US" w:eastAsia="zh-CN"/>
              </w:rPr>
              <w:t>2020.12</w:t>
            </w:r>
          </w:p>
        </w:tc>
        <w:tc>
          <w:tcPr>
            <w:tcW w:w="1290" w:type="pct"/>
            <w:vAlign w:val="center"/>
          </w:tcPr>
          <w:p>
            <w:pPr>
              <w:pStyle w:val="25"/>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验收现场监测时间</w:t>
            </w:r>
          </w:p>
        </w:tc>
        <w:tc>
          <w:tcPr>
            <w:tcW w:w="1471" w:type="pct"/>
            <w:gridSpan w:val="3"/>
            <w:vAlign w:val="center"/>
          </w:tcPr>
          <w:p>
            <w:pPr>
              <w:pStyle w:val="25"/>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202</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0</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05</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3" w:hRule="atLeast"/>
          <w:jc w:val="center"/>
        </w:trPr>
        <w:tc>
          <w:tcPr>
            <w:tcW w:w="916" w:type="pct"/>
            <w:vAlign w:val="center"/>
          </w:tcPr>
          <w:p>
            <w:pPr>
              <w:pStyle w:val="25"/>
              <w:ind w:hanging="104"/>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环评报告</w:t>
            </w:r>
          </w:p>
          <w:p>
            <w:pPr>
              <w:pStyle w:val="25"/>
              <w:ind w:hanging="104"/>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审批部门</w:t>
            </w:r>
          </w:p>
        </w:tc>
        <w:tc>
          <w:tcPr>
            <w:tcW w:w="1322" w:type="pct"/>
            <w:vAlign w:val="center"/>
          </w:tcPr>
          <w:p>
            <w:pPr>
              <w:pStyle w:val="25"/>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岳阳市环境保护局岳阳经济开发区分局</w:t>
            </w:r>
          </w:p>
        </w:tc>
        <w:tc>
          <w:tcPr>
            <w:tcW w:w="1290" w:type="pct"/>
            <w:vAlign w:val="center"/>
          </w:tcPr>
          <w:p>
            <w:pPr>
              <w:pStyle w:val="25"/>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环评</w:t>
            </w:r>
            <w:r>
              <w:rPr>
                <w:rFonts w:hint="default" w:ascii="Times New Roman" w:hAnsi="Times New Roman" w:eastAsia="宋体" w:cs="Times New Roman"/>
                <w:b/>
                <w:bCs/>
                <w:color w:val="auto"/>
                <w:sz w:val="24"/>
                <w:szCs w:val="24"/>
                <w:lang w:eastAsia="zh-CN"/>
              </w:rPr>
              <w:t>报告</w:t>
            </w:r>
          </w:p>
          <w:p>
            <w:pPr>
              <w:pStyle w:val="25"/>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编制单位</w:t>
            </w:r>
          </w:p>
        </w:tc>
        <w:tc>
          <w:tcPr>
            <w:tcW w:w="1471" w:type="pct"/>
            <w:gridSpan w:val="3"/>
            <w:vAlign w:val="center"/>
          </w:tcPr>
          <w:p>
            <w:pPr>
              <w:pStyle w:val="25"/>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湖南润美环保科技有限公司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916" w:type="pct"/>
            <w:vAlign w:val="bottom"/>
          </w:tcPr>
          <w:p>
            <w:pPr>
              <w:pStyle w:val="25"/>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环保设施设计单位</w:t>
            </w:r>
          </w:p>
        </w:tc>
        <w:tc>
          <w:tcPr>
            <w:tcW w:w="1322" w:type="pct"/>
            <w:vAlign w:val="center"/>
          </w:tcPr>
          <w:p>
            <w:pPr>
              <w:pStyle w:val="25"/>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_</w:t>
            </w:r>
          </w:p>
        </w:tc>
        <w:tc>
          <w:tcPr>
            <w:tcW w:w="1290" w:type="pct"/>
            <w:vAlign w:val="center"/>
          </w:tcPr>
          <w:p>
            <w:pPr>
              <w:pStyle w:val="25"/>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环保设施施工单位</w:t>
            </w:r>
          </w:p>
        </w:tc>
        <w:tc>
          <w:tcPr>
            <w:tcW w:w="1471" w:type="pct"/>
            <w:gridSpan w:val="3"/>
            <w:vAlign w:val="center"/>
          </w:tcPr>
          <w:p>
            <w:pPr>
              <w:pStyle w:val="25"/>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_</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916" w:type="pct"/>
            <w:vAlign w:val="center"/>
          </w:tcPr>
          <w:p>
            <w:pPr>
              <w:pStyle w:val="25"/>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投资总概算</w:t>
            </w:r>
          </w:p>
          <w:p>
            <w:pPr>
              <w:pStyle w:val="25"/>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（万元）</w:t>
            </w:r>
          </w:p>
        </w:tc>
        <w:tc>
          <w:tcPr>
            <w:tcW w:w="1322" w:type="pct"/>
            <w:vAlign w:val="center"/>
          </w:tcPr>
          <w:p>
            <w:pPr>
              <w:pStyle w:val="25"/>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7500</w:t>
            </w:r>
          </w:p>
        </w:tc>
        <w:tc>
          <w:tcPr>
            <w:tcW w:w="1290" w:type="pct"/>
            <w:vAlign w:val="center"/>
          </w:tcPr>
          <w:p>
            <w:pPr>
              <w:pStyle w:val="25"/>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环保投资总概算</w:t>
            </w:r>
          </w:p>
          <w:p>
            <w:pPr>
              <w:pStyle w:val="25"/>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（万元）</w:t>
            </w:r>
          </w:p>
        </w:tc>
        <w:tc>
          <w:tcPr>
            <w:tcW w:w="476" w:type="pct"/>
            <w:vAlign w:val="center"/>
          </w:tcPr>
          <w:p>
            <w:pPr>
              <w:pStyle w:val="25"/>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30</w:t>
            </w:r>
          </w:p>
        </w:tc>
        <w:tc>
          <w:tcPr>
            <w:tcW w:w="457" w:type="pct"/>
            <w:vAlign w:val="center"/>
          </w:tcPr>
          <w:p>
            <w:pPr>
              <w:pStyle w:val="25"/>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比例</w:t>
            </w:r>
          </w:p>
        </w:tc>
        <w:tc>
          <w:tcPr>
            <w:tcW w:w="537" w:type="pct"/>
            <w:vAlign w:val="center"/>
          </w:tcPr>
          <w:p>
            <w:pPr>
              <w:pStyle w:val="25"/>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jc w:val="center"/>
        </w:trPr>
        <w:tc>
          <w:tcPr>
            <w:tcW w:w="916" w:type="pct"/>
            <w:vAlign w:val="center"/>
          </w:tcPr>
          <w:p>
            <w:pPr>
              <w:pStyle w:val="25"/>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实际总概算</w:t>
            </w:r>
          </w:p>
          <w:p>
            <w:pPr>
              <w:pStyle w:val="25"/>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eastAsia="zh-CN"/>
              </w:rPr>
              <w:t>（万元）</w:t>
            </w:r>
          </w:p>
        </w:tc>
        <w:tc>
          <w:tcPr>
            <w:tcW w:w="1322" w:type="pct"/>
            <w:vAlign w:val="center"/>
          </w:tcPr>
          <w:p>
            <w:pPr>
              <w:pStyle w:val="25"/>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7500</w:t>
            </w:r>
          </w:p>
        </w:tc>
        <w:tc>
          <w:tcPr>
            <w:tcW w:w="1290" w:type="pct"/>
            <w:vAlign w:val="center"/>
          </w:tcPr>
          <w:p>
            <w:pPr>
              <w:pStyle w:val="25"/>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环保投资</w:t>
            </w:r>
          </w:p>
          <w:p>
            <w:pPr>
              <w:pStyle w:val="25"/>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eastAsia="zh-CN"/>
              </w:rPr>
              <w:t>（万元）</w:t>
            </w:r>
          </w:p>
        </w:tc>
        <w:tc>
          <w:tcPr>
            <w:tcW w:w="476" w:type="pct"/>
            <w:vAlign w:val="center"/>
          </w:tcPr>
          <w:p>
            <w:pPr>
              <w:pStyle w:val="25"/>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30</w:t>
            </w:r>
          </w:p>
        </w:tc>
        <w:tc>
          <w:tcPr>
            <w:tcW w:w="457" w:type="pct"/>
            <w:vAlign w:val="center"/>
          </w:tcPr>
          <w:p>
            <w:pPr>
              <w:pStyle w:val="25"/>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比例</w:t>
            </w:r>
          </w:p>
        </w:tc>
        <w:tc>
          <w:tcPr>
            <w:tcW w:w="537" w:type="pct"/>
            <w:vAlign w:val="center"/>
          </w:tcPr>
          <w:p>
            <w:pPr>
              <w:pStyle w:val="25"/>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jc w:val="center"/>
        </w:trPr>
        <w:tc>
          <w:tcPr>
            <w:tcW w:w="916" w:type="pct"/>
            <w:vAlign w:val="center"/>
          </w:tcPr>
          <w:p>
            <w:pPr>
              <w:pStyle w:val="25"/>
              <w:spacing w:line="360" w:lineRule="auto"/>
              <w:ind w:right="16"/>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4083" w:type="pct"/>
            <w:gridSpan w:val="5"/>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（1）《建设项目环境保护管理条例》，中华人民共和国国务院令第682号，2017年10月1日；</w:t>
            </w:r>
          </w:p>
          <w:p>
            <w:pPr>
              <w:keepNext w:val="0"/>
              <w:keepLines w:val="0"/>
              <w:pageBreakBefore w:val="0"/>
              <w:widowControl w:val="0"/>
              <w:kinsoku/>
              <w:wordWrap/>
              <w:overflowPunct/>
              <w:topLinePunct w:val="0"/>
              <w:autoSpaceDE w:val="0"/>
              <w:autoSpaceDN w:val="0"/>
              <w:bidi w:val="0"/>
              <w:adjustRightInd/>
              <w:snapToGrid/>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 xml:space="preserve">（2）《建设项目竣工环境保护验收暂行办法》，国环规环评〔2017〕4号令； </w:t>
            </w:r>
          </w:p>
          <w:p>
            <w:pPr>
              <w:keepNext w:val="0"/>
              <w:keepLines w:val="0"/>
              <w:pageBreakBefore w:val="0"/>
              <w:widowControl w:val="0"/>
              <w:kinsoku/>
              <w:wordWrap/>
              <w:overflowPunct/>
              <w:topLinePunct w:val="0"/>
              <w:autoSpaceDE w:val="0"/>
              <w:autoSpaceDN w:val="0"/>
              <w:bidi w:val="0"/>
              <w:adjustRightInd/>
              <w:snapToGrid/>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（3）《建设项目竣工环境保护验收技术指南 污染影响类》生态环保部办公厅2018年5月16日印发；</w:t>
            </w:r>
          </w:p>
          <w:p>
            <w:pPr>
              <w:keepNext w:val="0"/>
              <w:keepLines w:val="0"/>
              <w:pageBreakBefore w:val="0"/>
              <w:widowControl w:val="0"/>
              <w:kinsoku/>
              <w:wordWrap/>
              <w:overflowPunct/>
              <w:topLinePunct w:val="0"/>
              <w:autoSpaceDE w:val="0"/>
              <w:autoSpaceDN w:val="0"/>
              <w:bidi w:val="0"/>
              <w:adjustRightInd/>
              <w:snapToGrid/>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（4）《中华人民共和国水污染防治法》，2018年1月1日；</w:t>
            </w:r>
          </w:p>
          <w:p>
            <w:pPr>
              <w:keepNext w:val="0"/>
              <w:keepLines w:val="0"/>
              <w:pageBreakBefore w:val="0"/>
              <w:widowControl w:val="0"/>
              <w:kinsoku/>
              <w:wordWrap/>
              <w:overflowPunct/>
              <w:topLinePunct w:val="0"/>
              <w:autoSpaceDE w:val="0"/>
              <w:autoSpaceDN w:val="0"/>
              <w:bidi w:val="0"/>
              <w:adjustRightInd/>
              <w:snapToGrid/>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（5）《中华人民共和国大气污染防治法》，2018年10月26日；</w:t>
            </w:r>
          </w:p>
          <w:p>
            <w:pPr>
              <w:keepNext w:val="0"/>
              <w:keepLines w:val="0"/>
              <w:pageBreakBefore w:val="0"/>
              <w:widowControl w:val="0"/>
              <w:kinsoku/>
              <w:wordWrap/>
              <w:overflowPunct/>
              <w:topLinePunct w:val="0"/>
              <w:autoSpaceDE w:val="0"/>
              <w:autoSpaceDN w:val="0"/>
              <w:bidi w:val="0"/>
              <w:adjustRightInd/>
              <w:snapToGrid/>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（6）《中华人民共和国环境噪声污染防治法》，2018年12月29日；</w:t>
            </w:r>
          </w:p>
          <w:p>
            <w:pPr>
              <w:pStyle w:val="2"/>
              <w:ind w:firstLine="480" w:firstLineChars="200"/>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7</w:t>
            </w:r>
            <w:r>
              <w:rPr>
                <w:rFonts w:hint="eastAsia" w:ascii="Times New Roman" w:hAnsi="Times New Roman" w:cs="Times New Roman"/>
                <w:color w:val="auto"/>
                <w:sz w:val="24"/>
                <w:szCs w:val="24"/>
                <w:lang w:eastAsia="zh-CN"/>
              </w:rPr>
              <w:t>）《建设项目竣工环境保护验收技术规范</w:t>
            </w:r>
            <w:r>
              <w:rPr>
                <w:rFonts w:hint="eastAsia" w:ascii="Times New Roman" w:hAnsi="Times New Roman" w:cs="Times New Roman"/>
                <w:color w:val="auto"/>
                <w:sz w:val="24"/>
                <w:szCs w:val="24"/>
                <w:lang w:val="en-US" w:eastAsia="zh-CN"/>
              </w:rPr>
              <w:t xml:space="preserve"> 制药</w:t>
            </w:r>
            <w:r>
              <w:rPr>
                <w:rFonts w:hint="eastAsia" w:ascii="Times New Roman" w:hAnsi="Times New Roman" w:cs="Times New Roman"/>
                <w:color w:val="auto"/>
                <w:sz w:val="24"/>
                <w:szCs w:val="24"/>
                <w:lang w:eastAsia="zh-CN"/>
              </w:rPr>
              <w:t>》（HJ792</w:t>
            </w:r>
          </w:p>
          <w:p>
            <w:pPr>
              <w:pStyle w:val="2"/>
              <w:rPr>
                <w:rFonts w:hint="default"/>
                <w:lang w:val="en-US" w:eastAsia="zh-CN"/>
              </w:rPr>
            </w:pPr>
            <w:r>
              <w:rPr>
                <w:rFonts w:hint="eastAsia" w:ascii="Times New Roman" w:hAnsi="Times New Roman" w:cs="Times New Roman"/>
                <w:color w:val="auto"/>
                <w:sz w:val="24"/>
                <w:szCs w:val="24"/>
                <w:lang w:eastAsia="zh-CN"/>
              </w:rPr>
              <w:t>-2016），</w:t>
            </w:r>
            <w:r>
              <w:rPr>
                <w:rFonts w:hint="eastAsia" w:ascii="Times New Roman" w:hAnsi="Times New Roman" w:cs="Times New Roman"/>
                <w:color w:val="auto"/>
                <w:sz w:val="24"/>
                <w:szCs w:val="24"/>
                <w:lang w:val="en-US" w:eastAsia="zh-CN"/>
              </w:rPr>
              <w:t>2016年7月1号；</w:t>
            </w:r>
          </w:p>
          <w:p>
            <w:pPr>
              <w:keepNext w:val="0"/>
              <w:keepLines w:val="0"/>
              <w:pageBreakBefore w:val="0"/>
              <w:widowControl w:val="0"/>
              <w:kinsoku/>
              <w:wordWrap/>
              <w:overflowPunct/>
              <w:topLinePunct w:val="0"/>
              <w:autoSpaceDE w:val="0"/>
              <w:autoSpaceDN w:val="0"/>
              <w:bidi w:val="0"/>
              <w:adjustRightInd/>
              <w:snapToGrid/>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eastAsia="zh-CN"/>
              </w:rPr>
              <w:t>）《湖南科伦制药有限公司岳阳分公司综合制剂二扩建项目环境影响报告表》，湖南润美环保科技有限公司，</w:t>
            </w:r>
            <w:r>
              <w:rPr>
                <w:rFonts w:hint="default" w:ascii="Times New Roman" w:hAnsi="Times New Roman" w:eastAsia="宋体" w:cs="Times New Roman"/>
                <w:color w:val="auto"/>
                <w:sz w:val="24"/>
                <w:szCs w:val="24"/>
                <w:lang w:val="en-US" w:eastAsia="zh-CN"/>
              </w:rPr>
              <w:t>2016</w:t>
            </w:r>
            <w:r>
              <w:rPr>
                <w:rFonts w:hint="default" w:ascii="Times New Roman" w:hAnsi="Times New Roman" w:eastAsia="宋体" w:cs="Times New Roman"/>
                <w:color w:val="auto"/>
                <w:sz w:val="24"/>
                <w:szCs w:val="24"/>
                <w:lang w:eastAsia="zh-CN"/>
              </w:rPr>
              <w:t>年</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eastAsia="zh-CN"/>
              </w:rPr>
              <w:t>月；</w:t>
            </w:r>
          </w:p>
          <w:p>
            <w:pPr>
              <w:keepNext w:val="0"/>
              <w:keepLines w:val="0"/>
              <w:pageBreakBefore w:val="0"/>
              <w:widowControl w:val="0"/>
              <w:kinsoku/>
              <w:wordWrap/>
              <w:overflowPunct/>
              <w:topLinePunct w:val="0"/>
              <w:autoSpaceDE w:val="0"/>
              <w:autoSpaceDN w:val="0"/>
              <w:bidi w:val="0"/>
              <w:adjustRightInd/>
              <w:snapToGrid/>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lang w:eastAsia="zh-CN"/>
              </w:rPr>
              <w:t>）《湖南科伦制药有限公司岳阳分公司综合制剂二扩建项目环境影响报告表的批复》，岳经环评〔201</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019</w:t>
            </w:r>
            <w:r>
              <w:rPr>
                <w:rFonts w:hint="default" w:ascii="Times New Roman" w:hAnsi="Times New Roman" w:eastAsia="宋体" w:cs="Times New Roman"/>
                <w:color w:val="auto"/>
                <w:sz w:val="24"/>
                <w:szCs w:val="24"/>
                <w:lang w:eastAsia="zh-CN"/>
              </w:rPr>
              <w:t>号，201</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eastAsia="zh-CN"/>
              </w:rPr>
              <w:t>年</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eastAsia="zh-CN"/>
              </w:rPr>
              <w:t>月</w:t>
            </w:r>
            <w:r>
              <w:rPr>
                <w:rFonts w:hint="default" w:ascii="Times New Roman" w:hAnsi="Times New Roman" w:eastAsia="宋体" w:cs="Times New Roman"/>
                <w:color w:val="auto"/>
                <w:sz w:val="24"/>
                <w:szCs w:val="24"/>
                <w:lang w:val="en-US" w:eastAsia="zh-CN"/>
              </w:rPr>
              <w:t>17</w:t>
            </w:r>
            <w:r>
              <w:rPr>
                <w:rFonts w:hint="default" w:ascii="Times New Roman" w:hAnsi="Times New Roman" w:eastAsia="宋体" w:cs="Times New Roman"/>
                <w:color w:val="auto"/>
                <w:sz w:val="24"/>
                <w:szCs w:val="24"/>
                <w:lang w:eastAsia="zh-CN"/>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2" w:hRule="atLeast"/>
          <w:jc w:val="center"/>
        </w:trPr>
        <w:tc>
          <w:tcPr>
            <w:tcW w:w="916" w:type="pct"/>
            <w:vAlign w:val="center"/>
          </w:tcPr>
          <w:p>
            <w:pPr>
              <w:pStyle w:val="25"/>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 xml:space="preserve"> 验收监测评价标准、级别、限值</w:t>
            </w:r>
          </w:p>
        </w:tc>
        <w:tc>
          <w:tcPr>
            <w:tcW w:w="4083" w:type="pct"/>
            <w:gridSpan w:val="5"/>
            <w:vAlign w:val="center"/>
          </w:tcPr>
          <w:p>
            <w:pPr>
              <w:autoSpaceDE/>
              <w:autoSpaceDN/>
              <w:spacing w:line="360" w:lineRule="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一、废气排放标准：</w:t>
            </w: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该项目环评批复时间为2016年6月17日，批复要求本项目车间废气应执行《大气污染物综合排放标准》（GB16297-1996）中表2中二级标准。锅炉废气排气筒中颗粒物、SO</w:t>
            </w:r>
            <w:r>
              <w:rPr>
                <w:rFonts w:hint="eastAsia" w:ascii="宋体" w:hAnsi="宋体" w:eastAsia="宋体" w:cs="宋体"/>
                <w:color w:val="auto"/>
                <w:kern w:val="0"/>
                <w:sz w:val="24"/>
                <w:szCs w:val="24"/>
                <w:vertAlign w:val="subscript"/>
                <w:lang w:val="en-US" w:eastAsia="zh-CN" w:bidi="ar-SA"/>
              </w:rPr>
              <w:t>2</w:t>
            </w:r>
            <w:r>
              <w:rPr>
                <w:rFonts w:hint="eastAsia" w:ascii="宋体" w:hAnsi="宋体" w:eastAsia="宋体" w:cs="宋体"/>
                <w:color w:val="auto"/>
                <w:kern w:val="0"/>
                <w:sz w:val="24"/>
                <w:szCs w:val="24"/>
                <w:lang w:val="en-US" w:eastAsia="zh-CN" w:bidi="ar-SA"/>
              </w:rPr>
              <w:t>、NOx需按要求执行《锅炉大气污染物排放标准》（GB13271-2014）中表3中规定的大气污染物特别排放限值。废气标准执行情况详见下表。</w:t>
            </w:r>
          </w:p>
          <w:p>
            <w:pPr>
              <w:spacing w:line="360" w:lineRule="auto"/>
              <w:jc w:val="center"/>
              <w:rPr>
                <w:rFonts w:ascii="Times New Roman" w:hAnsi="Times New Roman" w:eastAsia="宋体" w:cs="Times New Roman"/>
                <w:b/>
                <w:bCs/>
                <w:color w:val="auto"/>
                <w:sz w:val="21"/>
                <w:szCs w:val="21"/>
                <w:lang w:eastAsia="zh-CN"/>
              </w:rPr>
            </w:pPr>
            <w:r>
              <w:rPr>
                <w:rFonts w:ascii="Times New Roman" w:hAnsi="Times New Roman" w:eastAsia="宋体" w:cs="Times New Roman"/>
                <w:b/>
                <w:bCs/>
                <w:color w:val="auto"/>
                <w:sz w:val="21"/>
                <w:szCs w:val="21"/>
                <w:lang w:eastAsia="zh-CN"/>
              </w:rPr>
              <w:t>表1  大气污染物排放标准</w:t>
            </w:r>
          </w:p>
          <w:tbl>
            <w:tblPr>
              <w:tblStyle w:val="18"/>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5"/>
              <w:gridCol w:w="662"/>
              <w:gridCol w:w="790"/>
              <w:gridCol w:w="1634"/>
              <w:gridCol w:w="1035"/>
              <w:gridCol w:w="1160"/>
              <w:gridCol w:w="12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783" w:type="pct"/>
                  <w:gridSpan w:val="2"/>
                  <w:tcBorders>
                    <w:tl2br w:val="nil"/>
                    <w:tr2bl w:val="nil"/>
                  </w:tcBorders>
                  <w:shd w:val="clear" w:color="auto" w:fill="D7D7D7" w:themeFill="background1" w:themeFillShade="D8"/>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Times New Roman" w:hAnsi="Times New Roman" w:cs="Times New Roman"/>
                      <w:color w:val="auto"/>
                      <w:sz w:val="21"/>
                      <w:szCs w:val="21"/>
                      <w:lang w:eastAsia="zh-CN"/>
                    </w:rPr>
                  </w:pPr>
                  <w:r>
                    <w:rPr>
                      <w:rFonts w:hint="eastAsia" w:ascii="宋体" w:hAnsi="宋体" w:eastAsia="宋体" w:cs="宋体"/>
                      <w:b/>
                      <w:bCs w:val="0"/>
                      <w:color w:val="auto"/>
                      <w:kern w:val="2"/>
                      <w:sz w:val="21"/>
                      <w:szCs w:val="21"/>
                    </w:rPr>
                    <w:t>类别</w:t>
                  </w:r>
                </w:p>
              </w:tc>
              <w:tc>
                <w:tcPr>
                  <w:tcW w:w="1747" w:type="pct"/>
                  <w:gridSpan w:val="2"/>
                  <w:tcBorders>
                    <w:tl2br w:val="nil"/>
                    <w:tr2bl w:val="nil"/>
                  </w:tcBorders>
                  <w:shd w:val="clear" w:color="auto" w:fill="D7D7D7" w:themeFill="background1" w:themeFillShade="D8"/>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Times New Roman" w:hAnsi="Times New Roman" w:cs="Times New Roman"/>
                      <w:color w:val="auto"/>
                      <w:sz w:val="21"/>
                      <w:szCs w:val="21"/>
                      <w:lang w:eastAsia="zh-CN"/>
                    </w:rPr>
                  </w:pPr>
                  <w:r>
                    <w:rPr>
                      <w:rFonts w:hint="eastAsia" w:ascii="宋体" w:hAnsi="宋体" w:eastAsia="宋体" w:cs="宋体"/>
                      <w:b/>
                      <w:bCs w:val="0"/>
                      <w:color w:val="auto"/>
                      <w:kern w:val="2"/>
                      <w:sz w:val="21"/>
                      <w:szCs w:val="21"/>
                    </w:rPr>
                    <w:t>标准名称</w:t>
                  </w:r>
                </w:p>
              </w:tc>
              <w:tc>
                <w:tcPr>
                  <w:tcW w:w="746" w:type="pct"/>
                  <w:tcBorders>
                    <w:tl2br w:val="nil"/>
                    <w:tr2bl w:val="nil"/>
                  </w:tcBorders>
                  <w:shd w:val="clear" w:color="auto" w:fill="D7D7D7" w:themeFill="background1" w:themeFillShade="D8"/>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Times New Roman" w:hAnsi="Times New Roman" w:cs="Times New Roman"/>
                      <w:color w:val="auto"/>
                      <w:sz w:val="21"/>
                      <w:szCs w:val="21"/>
                      <w:lang w:eastAsia="zh-CN"/>
                    </w:rPr>
                  </w:pPr>
                  <w:r>
                    <w:rPr>
                      <w:rFonts w:hint="eastAsia" w:ascii="宋体" w:hAnsi="宋体" w:eastAsia="宋体" w:cs="宋体"/>
                      <w:b/>
                      <w:bCs w:val="0"/>
                      <w:color w:val="auto"/>
                      <w:kern w:val="2"/>
                      <w:sz w:val="21"/>
                      <w:szCs w:val="21"/>
                    </w:rPr>
                    <w:t>污染物</w:t>
                  </w:r>
                </w:p>
              </w:tc>
              <w:tc>
                <w:tcPr>
                  <w:tcW w:w="836" w:type="pct"/>
                  <w:tcBorders>
                    <w:tl2br w:val="nil"/>
                    <w:tr2bl w:val="nil"/>
                  </w:tcBorders>
                  <w:shd w:val="clear" w:color="auto" w:fill="D7D7D7" w:themeFill="background1" w:themeFillShade="D8"/>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ascii="宋体" w:hAnsi="宋体" w:eastAsia="宋体" w:cs="宋体"/>
                      <w:b/>
                      <w:bCs w:val="0"/>
                      <w:color w:val="auto"/>
                      <w:kern w:val="2"/>
                      <w:sz w:val="21"/>
                      <w:szCs w:val="21"/>
                    </w:rPr>
                    <w:t>排放标准限值</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lang w:val="en-US" w:eastAsia="zh-CN"/>
                    </w:rPr>
                    <w:t>mg/m</w:t>
                  </w:r>
                  <w:r>
                    <w:rPr>
                      <w:rFonts w:hint="default" w:ascii="Times New Roman" w:hAnsi="Times New Roman" w:eastAsia="宋体" w:cs="Times New Roman"/>
                      <w:b/>
                      <w:bCs/>
                      <w:color w:val="auto"/>
                      <w:sz w:val="21"/>
                      <w:szCs w:val="21"/>
                      <w:vertAlign w:val="superscript"/>
                      <w:lang w:val="en-US" w:eastAsia="zh-CN"/>
                    </w:rPr>
                    <w:t>3</w:t>
                  </w:r>
                  <w:r>
                    <w:rPr>
                      <w:rFonts w:hint="eastAsia" w:ascii="宋体" w:hAnsi="宋体" w:eastAsia="宋体" w:cs="宋体"/>
                      <w:b/>
                      <w:bCs/>
                      <w:color w:val="auto"/>
                      <w:sz w:val="21"/>
                      <w:szCs w:val="21"/>
                      <w:vertAlign w:val="baseline"/>
                      <w:lang w:val="en-US" w:eastAsia="zh-CN"/>
                    </w:rPr>
                    <w:t>）</w:t>
                  </w:r>
                </w:p>
              </w:tc>
              <w:tc>
                <w:tcPr>
                  <w:tcW w:w="885" w:type="pct"/>
                  <w:tcBorders>
                    <w:tl2br w:val="nil"/>
                    <w:tr2bl w:val="nil"/>
                  </w:tcBorders>
                  <w:shd w:val="clear" w:color="auto" w:fill="D7D7D7" w:themeFill="background1" w:themeFillShade="D8"/>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宋体" w:hAnsi="宋体" w:eastAsia="宋体" w:cs="宋体"/>
                      <w:b/>
                      <w:bCs w:val="0"/>
                      <w:color w:val="auto"/>
                      <w:kern w:val="2"/>
                      <w:sz w:val="21"/>
                      <w:szCs w:val="21"/>
                      <w:lang w:eastAsia="zh-CN"/>
                    </w:rPr>
                  </w:pPr>
                  <w:r>
                    <w:rPr>
                      <w:rFonts w:hint="eastAsia" w:ascii="宋体" w:hAnsi="宋体" w:eastAsia="宋体" w:cs="宋体"/>
                      <w:b/>
                      <w:bCs w:val="0"/>
                      <w:color w:val="auto"/>
                      <w:kern w:val="2"/>
                      <w:sz w:val="21"/>
                      <w:szCs w:val="21"/>
                      <w:lang w:eastAsia="zh-CN"/>
                    </w:rPr>
                    <w:t>最高允许排放速率（</w:t>
                  </w:r>
                  <w:r>
                    <w:rPr>
                      <w:rFonts w:hint="eastAsia" w:ascii="宋体" w:hAnsi="宋体" w:eastAsia="宋体" w:cs="宋体"/>
                      <w:b/>
                      <w:bCs w:val="0"/>
                      <w:color w:val="auto"/>
                      <w:kern w:val="2"/>
                      <w:sz w:val="21"/>
                      <w:szCs w:val="21"/>
                      <w:lang w:val="en-US" w:eastAsia="zh-CN"/>
                    </w:rPr>
                    <w:t>kg/h</w:t>
                  </w:r>
                  <w:r>
                    <w:rPr>
                      <w:rFonts w:hint="eastAsia" w:ascii="宋体" w:hAnsi="宋体" w:eastAsia="宋体" w:cs="宋体"/>
                      <w:b/>
                      <w:bCs w:val="0"/>
                      <w:color w:val="auto"/>
                      <w:kern w:val="2"/>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306" w:type="pct"/>
                  <w:vMerge w:val="restart"/>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宋体" w:hAnsi="宋体" w:eastAsia="宋体" w:cs="宋体"/>
                      <w:color w:val="auto"/>
                      <w:sz w:val="21"/>
                      <w:szCs w:val="21"/>
                      <w:lang w:eastAsia="zh-CN"/>
                    </w:rPr>
                  </w:pPr>
                </w:p>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宋体" w:hAnsi="宋体" w:eastAsia="宋体" w:cs="宋体"/>
                      <w:color w:val="auto"/>
                      <w:sz w:val="21"/>
                      <w:szCs w:val="21"/>
                      <w:lang w:eastAsia="zh-CN"/>
                    </w:rPr>
                  </w:pPr>
                </w:p>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宋体" w:hAnsi="宋体" w:eastAsia="宋体" w:cs="宋体"/>
                      <w:color w:val="auto"/>
                      <w:sz w:val="21"/>
                      <w:szCs w:val="21"/>
                      <w:lang w:eastAsia="zh-CN"/>
                    </w:rPr>
                  </w:pPr>
                  <w:r>
                    <w:rPr>
                      <w:rFonts w:hint="eastAsia" w:ascii="宋体" w:hAnsi="宋体" w:eastAsia="宋体" w:cs="宋体"/>
                      <w:color w:val="auto"/>
                      <w:sz w:val="21"/>
                      <w:szCs w:val="21"/>
                      <w:lang w:eastAsia="zh-CN"/>
                    </w:rPr>
                    <w:t>废气</w:t>
                  </w:r>
                </w:p>
              </w:tc>
              <w:tc>
                <w:tcPr>
                  <w:tcW w:w="477" w:type="pct"/>
                  <w:vMerge w:val="restart"/>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有组织废气</w:t>
                  </w:r>
                </w:p>
              </w:tc>
              <w:tc>
                <w:tcPr>
                  <w:tcW w:w="569" w:type="pct"/>
                  <w:vMerge w:val="restart"/>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锅炉废气排气筒</w:t>
                  </w:r>
                </w:p>
              </w:tc>
              <w:tc>
                <w:tcPr>
                  <w:tcW w:w="1178" w:type="pct"/>
                  <w:vMerge w:val="restart"/>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《锅炉大气污染物排放标准》（GB13271-2014）</w:t>
                  </w:r>
                </w:p>
              </w:tc>
              <w:tc>
                <w:tcPr>
                  <w:tcW w:w="746" w:type="pct"/>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颗粒物</w:t>
                  </w:r>
                </w:p>
              </w:tc>
              <w:tc>
                <w:tcPr>
                  <w:tcW w:w="836" w:type="pct"/>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30</w:t>
                  </w:r>
                </w:p>
              </w:tc>
              <w:tc>
                <w:tcPr>
                  <w:tcW w:w="885" w:type="pct"/>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306" w:type="pct"/>
                  <w:vMerge w:val="continue"/>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宋体" w:hAnsi="宋体" w:eastAsia="宋体" w:cs="宋体"/>
                      <w:color w:val="auto"/>
                      <w:sz w:val="21"/>
                      <w:szCs w:val="21"/>
                      <w:lang w:eastAsia="zh-CN"/>
                    </w:rPr>
                  </w:pPr>
                </w:p>
              </w:tc>
              <w:tc>
                <w:tcPr>
                  <w:tcW w:w="477" w:type="pct"/>
                  <w:vMerge w:val="continue"/>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宋体" w:hAnsi="宋体" w:eastAsia="宋体" w:cs="宋体"/>
                      <w:color w:val="auto"/>
                      <w:sz w:val="21"/>
                      <w:szCs w:val="21"/>
                      <w:lang w:eastAsia="zh-CN"/>
                    </w:rPr>
                  </w:pPr>
                </w:p>
              </w:tc>
              <w:tc>
                <w:tcPr>
                  <w:tcW w:w="569" w:type="pct"/>
                  <w:vMerge w:val="continue"/>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宋体" w:hAnsi="宋体" w:eastAsia="宋体" w:cs="宋体"/>
                      <w:color w:val="auto"/>
                      <w:sz w:val="21"/>
                      <w:szCs w:val="21"/>
                      <w:lang w:eastAsia="zh-CN"/>
                    </w:rPr>
                  </w:pPr>
                </w:p>
              </w:tc>
              <w:tc>
                <w:tcPr>
                  <w:tcW w:w="1178" w:type="pct"/>
                  <w:vMerge w:val="continue"/>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宋体" w:hAnsi="宋体" w:eastAsia="宋体" w:cs="宋体"/>
                      <w:color w:val="auto"/>
                      <w:sz w:val="21"/>
                      <w:szCs w:val="21"/>
                      <w:lang w:eastAsia="zh-CN"/>
                    </w:rPr>
                  </w:pPr>
                </w:p>
              </w:tc>
              <w:tc>
                <w:tcPr>
                  <w:tcW w:w="746" w:type="pct"/>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SO</w:t>
                  </w:r>
                  <w:r>
                    <w:rPr>
                      <w:rFonts w:hint="eastAsia" w:ascii="宋体" w:hAnsi="宋体" w:eastAsia="宋体" w:cs="宋体"/>
                      <w:color w:val="auto"/>
                      <w:sz w:val="21"/>
                      <w:szCs w:val="21"/>
                      <w:vertAlign w:val="subscript"/>
                      <w:lang w:val="en-US" w:eastAsia="zh-CN"/>
                    </w:rPr>
                    <w:t>2</w:t>
                  </w:r>
                </w:p>
              </w:tc>
              <w:tc>
                <w:tcPr>
                  <w:tcW w:w="836" w:type="pct"/>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200</w:t>
                  </w:r>
                </w:p>
              </w:tc>
              <w:tc>
                <w:tcPr>
                  <w:tcW w:w="885" w:type="pct"/>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306" w:type="pct"/>
                  <w:vMerge w:val="continue"/>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宋体" w:hAnsi="宋体" w:eastAsia="宋体" w:cs="宋体"/>
                      <w:color w:val="auto"/>
                      <w:sz w:val="21"/>
                      <w:szCs w:val="21"/>
                      <w:lang w:eastAsia="zh-CN"/>
                    </w:rPr>
                  </w:pPr>
                </w:p>
              </w:tc>
              <w:tc>
                <w:tcPr>
                  <w:tcW w:w="477" w:type="pct"/>
                  <w:vMerge w:val="continue"/>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宋体" w:hAnsi="宋体" w:eastAsia="宋体" w:cs="宋体"/>
                      <w:color w:val="auto"/>
                      <w:sz w:val="21"/>
                      <w:szCs w:val="21"/>
                      <w:lang w:eastAsia="zh-CN"/>
                    </w:rPr>
                  </w:pPr>
                </w:p>
              </w:tc>
              <w:tc>
                <w:tcPr>
                  <w:tcW w:w="569" w:type="pct"/>
                  <w:vMerge w:val="continue"/>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宋体" w:hAnsi="宋体" w:eastAsia="宋体" w:cs="宋体"/>
                      <w:color w:val="auto"/>
                      <w:sz w:val="21"/>
                      <w:szCs w:val="21"/>
                      <w:lang w:eastAsia="zh-CN"/>
                    </w:rPr>
                  </w:pPr>
                </w:p>
              </w:tc>
              <w:tc>
                <w:tcPr>
                  <w:tcW w:w="1178" w:type="pct"/>
                  <w:vMerge w:val="continue"/>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宋体" w:hAnsi="宋体" w:eastAsia="宋体" w:cs="宋体"/>
                      <w:color w:val="auto"/>
                      <w:sz w:val="21"/>
                      <w:szCs w:val="21"/>
                      <w:lang w:eastAsia="zh-CN"/>
                    </w:rPr>
                  </w:pPr>
                </w:p>
              </w:tc>
              <w:tc>
                <w:tcPr>
                  <w:tcW w:w="746" w:type="pct"/>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NOx</w:t>
                  </w:r>
                </w:p>
              </w:tc>
              <w:tc>
                <w:tcPr>
                  <w:tcW w:w="836" w:type="pct"/>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200</w:t>
                  </w:r>
                </w:p>
              </w:tc>
              <w:tc>
                <w:tcPr>
                  <w:tcW w:w="885" w:type="pct"/>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306" w:type="pct"/>
                  <w:vMerge w:val="continue"/>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宋体" w:hAnsi="宋体" w:eastAsia="宋体" w:cs="宋体"/>
                      <w:color w:val="auto"/>
                      <w:sz w:val="21"/>
                      <w:szCs w:val="21"/>
                      <w:lang w:eastAsia="zh-CN"/>
                    </w:rPr>
                  </w:pPr>
                </w:p>
              </w:tc>
              <w:tc>
                <w:tcPr>
                  <w:tcW w:w="477" w:type="pct"/>
                  <w:vMerge w:val="continue"/>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宋体" w:hAnsi="宋体" w:eastAsia="宋体" w:cs="宋体"/>
                      <w:color w:val="auto"/>
                      <w:sz w:val="21"/>
                      <w:szCs w:val="21"/>
                      <w:lang w:eastAsia="zh-CN"/>
                    </w:rPr>
                  </w:pPr>
                </w:p>
              </w:tc>
              <w:tc>
                <w:tcPr>
                  <w:tcW w:w="569" w:type="pct"/>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车间废气排放口</w:t>
                  </w:r>
                </w:p>
              </w:tc>
              <w:tc>
                <w:tcPr>
                  <w:tcW w:w="1178" w:type="pct"/>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《大气污染物综合排放标准》（GB16297-1996）二级标准</w:t>
                  </w:r>
                </w:p>
              </w:tc>
              <w:tc>
                <w:tcPr>
                  <w:tcW w:w="746" w:type="pct"/>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颗粒物</w:t>
                  </w:r>
                </w:p>
              </w:tc>
              <w:tc>
                <w:tcPr>
                  <w:tcW w:w="836" w:type="pct"/>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150</w:t>
                  </w:r>
                </w:p>
              </w:tc>
              <w:tc>
                <w:tcPr>
                  <w:tcW w:w="885" w:type="pct"/>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06" w:type="pct"/>
                  <w:vMerge w:val="continue"/>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宋体" w:hAnsi="宋体" w:eastAsia="宋体" w:cs="宋体"/>
                      <w:color w:val="auto"/>
                      <w:sz w:val="21"/>
                      <w:szCs w:val="21"/>
                      <w:lang w:eastAsia="zh-CN"/>
                    </w:rPr>
                  </w:pPr>
                </w:p>
              </w:tc>
              <w:tc>
                <w:tcPr>
                  <w:tcW w:w="477" w:type="pct"/>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无组织废气</w:t>
                  </w:r>
                </w:p>
              </w:tc>
              <w:tc>
                <w:tcPr>
                  <w:tcW w:w="569" w:type="pct"/>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1178" w:type="pct"/>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《大气污染物综合排放标准》（GB16297-1996）</w:t>
                  </w:r>
                </w:p>
              </w:tc>
              <w:tc>
                <w:tcPr>
                  <w:tcW w:w="746" w:type="pct"/>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颗粒物</w:t>
                  </w:r>
                </w:p>
              </w:tc>
              <w:tc>
                <w:tcPr>
                  <w:tcW w:w="836" w:type="pct"/>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5.0</w:t>
                  </w:r>
                </w:p>
              </w:tc>
              <w:tc>
                <w:tcPr>
                  <w:tcW w:w="885" w:type="pct"/>
                  <w:tcBorders>
                    <w:tl2br w:val="nil"/>
                    <w:tr2bl w:val="nil"/>
                  </w:tcBorders>
                  <w:vAlign w:val="center"/>
                </w:tcPr>
                <w:p>
                  <w:pPr>
                    <w:pStyle w:val="39"/>
                    <w:keepNext w:val="0"/>
                    <w:keepLines w:val="0"/>
                    <w:pageBreakBefore w:val="0"/>
                    <w:widowControl/>
                    <w:suppressLineNumbers w:val="0"/>
                    <w:kinsoku/>
                    <w:wordWrap/>
                    <w:overflowPunct/>
                    <w:topLinePunct w:val="0"/>
                    <w:autoSpaceDE w:val="0"/>
                    <w:autoSpaceDN w:val="0"/>
                    <w:bidi w:val="0"/>
                    <w:adjustRightInd/>
                    <w:snapToGrid/>
                    <w:spacing w:afterAutospacing="0" w:line="240" w:lineRule="auto"/>
                    <w:ind w:left="0" w:leftChars="0"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r>
          </w:tbl>
          <w:p>
            <w:pPr>
              <w:autoSpaceDE/>
              <w:autoSpaceDN/>
              <w:spacing w:line="360" w:lineRule="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二、废水排放标准：</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w:t>
            </w:r>
            <w:r>
              <w:rPr>
                <w:rFonts w:hint="eastAsia" w:ascii="Times New Roman" w:hAnsi="Times New Roman" w:eastAsia="宋体" w:cs="Times New Roman"/>
                <w:color w:val="auto"/>
                <w:sz w:val="24"/>
                <w:szCs w:val="24"/>
                <w:lang w:val="en-US" w:eastAsia="zh-CN"/>
              </w:rPr>
              <w:t>工程为混装制剂类制药工业，执行《混装制剂类制药工业水污染物排放标准》（GB21908-2008），该标准要求企业向设置污水处理厂的城镇排水系统排放废水时，其污染物的排放控制要求由企业与城镇污水处理厂根据其污水处理能力商定或执行相关标准，并报当地环境保护主管部门备案；项目废水来源主要是</w:t>
            </w:r>
            <w:r>
              <w:rPr>
                <w:rFonts w:hint="default" w:ascii="Times New Roman" w:hAnsi="Times New Roman" w:eastAsia="宋体" w:cs="Times New Roman"/>
                <w:color w:val="auto"/>
                <w:sz w:val="24"/>
                <w:szCs w:val="24"/>
                <w:lang w:val="en-US" w:eastAsia="zh-CN"/>
              </w:rPr>
              <w:t>洗瓶、洗塞废水、地面冲洗水及生活污水</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合并排入厂区污水处理站进行处理，处理后须达到罗家坡污水处理厂的接纳标准再排入市政污水管网。项目废水不直接排放，根据罗家坡污水处理厂的接纳标准要求，项目废水应《污水综合排放标准》（GB8978-1996）三级标准。</w:t>
            </w:r>
          </w:p>
          <w:p>
            <w:pPr>
              <w:spacing w:line="360"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表2  本项目水污染物排放标准</w:t>
            </w:r>
          </w:p>
          <w:tbl>
            <w:tblPr>
              <w:tblStyle w:val="18"/>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27"/>
              <w:gridCol w:w="2759"/>
              <w:gridCol w:w="1781"/>
              <w:gridCol w:w="146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668" w:type="pct"/>
                  <w:tcBorders>
                    <w:tl2br w:val="nil"/>
                    <w:tr2bl w:val="nil"/>
                  </w:tcBorders>
                  <w:shd w:val="clear" w:color="auto" w:fill="D7D7D7" w:themeFill="background1" w:themeFillShade="D8"/>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lang w:eastAsia="zh-CN"/>
                    </w:rPr>
                    <w:t>类别</w:t>
                  </w:r>
                </w:p>
              </w:tc>
              <w:tc>
                <w:tcPr>
                  <w:tcW w:w="1988" w:type="pct"/>
                  <w:tcBorders>
                    <w:tl2br w:val="nil"/>
                    <w:tr2bl w:val="nil"/>
                  </w:tcBorders>
                  <w:shd w:val="clear" w:color="auto" w:fill="D7D7D7" w:themeFill="background1" w:themeFillShade="D8"/>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lang w:eastAsia="zh-CN"/>
                    </w:rPr>
                    <w:t>标准名称</w:t>
                  </w:r>
                </w:p>
              </w:tc>
              <w:tc>
                <w:tcPr>
                  <w:tcW w:w="1283" w:type="pct"/>
                  <w:tcBorders>
                    <w:tl2br w:val="nil"/>
                    <w:tr2bl w:val="nil"/>
                  </w:tcBorders>
                  <w:shd w:val="clear" w:color="auto" w:fill="D7D7D7" w:themeFill="background1" w:themeFillShade="D8"/>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kern w:val="2"/>
                      <w:sz w:val="21"/>
                      <w:szCs w:val="21"/>
                    </w:rPr>
                    <w:t>污染物</w:t>
                  </w:r>
                </w:p>
              </w:tc>
              <w:tc>
                <w:tcPr>
                  <w:tcW w:w="1058" w:type="pct"/>
                  <w:tcBorders>
                    <w:tl2br w:val="nil"/>
                    <w:tr2bl w:val="nil"/>
                  </w:tcBorders>
                  <w:shd w:val="clear" w:color="auto" w:fill="D7D7D7" w:themeFill="background1" w:themeFillShade="D8"/>
                  <w:vAlign w:val="center"/>
                </w:tcPr>
                <w:p>
                  <w:pPr>
                    <w:pStyle w:val="10"/>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排放标准限值</w:t>
                  </w:r>
                </w:p>
                <w:p>
                  <w:pPr>
                    <w:pStyle w:val="10"/>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val="0"/>
                      <w:color w:val="auto"/>
                      <w:kern w:val="2"/>
                      <w:sz w:val="21"/>
                      <w:szCs w:val="21"/>
                      <w:lang w:val="en-US" w:eastAsia="zh-CN"/>
                    </w:rPr>
                    <w:t>mg/L</w:t>
                  </w:r>
                  <w:r>
                    <w:rPr>
                      <w:rFonts w:hint="default" w:ascii="Times New Roman" w:hAnsi="Times New Roman" w:eastAsia="宋体" w:cs="Times New Roman"/>
                      <w:b/>
                      <w:bCs/>
                      <w:color w:val="auto"/>
                      <w:sz w:val="21"/>
                      <w:szCs w:val="21"/>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7" w:hRule="atLeast"/>
                <w:jc w:val="center"/>
              </w:trPr>
              <w:tc>
                <w:tcPr>
                  <w:tcW w:w="668" w:type="pct"/>
                  <w:vMerge w:val="restart"/>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废水</w:t>
                  </w:r>
                </w:p>
              </w:tc>
              <w:tc>
                <w:tcPr>
                  <w:tcW w:w="1988" w:type="pct"/>
                  <w:vMerge w:val="restart"/>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《污水综合排放标准》（GB8978-1996）</w:t>
                  </w:r>
                </w:p>
              </w:tc>
              <w:tc>
                <w:tcPr>
                  <w:tcW w:w="1283" w:type="pct"/>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pH</w:t>
                  </w:r>
                </w:p>
              </w:tc>
              <w:tc>
                <w:tcPr>
                  <w:tcW w:w="1058" w:type="pct"/>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668" w:type="pct"/>
                  <w:vMerge w:val="continue"/>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988" w:type="pct"/>
                  <w:vMerge w:val="continue"/>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283" w:type="pct"/>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COD</w:t>
                  </w:r>
                  <w:r>
                    <w:rPr>
                      <w:rFonts w:hint="default" w:ascii="Times New Roman" w:hAnsi="Times New Roman" w:eastAsia="宋体" w:cs="Times New Roman"/>
                      <w:color w:val="auto"/>
                      <w:sz w:val="21"/>
                      <w:szCs w:val="21"/>
                      <w:vertAlign w:val="subscript"/>
                    </w:rPr>
                    <w:t>Cr</w:t>
                  </w:r>
                </w:p>
              </w:tc>
              <w:tc>
                <w:tcPr>
                  <w:tcW w:w="1058" w:type="pct"/>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668" w:type="pct"/>
                  <w:vMerge w:val="continue"/>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988" w:type="pct"/>
                  <w:vMerge w:val="continue"/>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283" w:type="pct"/>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BOD</w:t>
                  </w:r>
                  <w:r>
                    <w:rPr>
                      <w:rFonts w:hint="default" w:ascii="Times New Roman" w:hAnsi="Times New Roman" w:eastAsia="宋体" w:cs="Times New Roman"/>
                      <w:color w:val="auto"/>
                      <w:sz w:val="21"/>
                      <w:szCs w:val="21"/>
                      <w:vertAlign w:val="subscript"/>
                      <w:lang w:eastAsia="zh-CN"/>
                    </w:rPr>
                    <w:t>5</w:t>
                  </w:r>
                </w:p>
              </w:tc>
              <w:tc>
                <w:tcPr>
                  <w:tcW w:w="1058" w:type="pct"/>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668" w:type="pct"/>
                  <w:vMerge w:val="continue"/>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988" w:type="pct"/>
                  <w:vMerge w:val="continue"/>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283" w:type="pct"/>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氨氮</w:t>
                  </w:r>
                </w:p>
              </w:tc>
              <w:tc>
                <w:tcPr>
                  <w:tcW w:w="1058" w:type="pct"/>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668" w:type="pct"/>
                  <w:vMerge w:val="continue"/>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988" w:type="pct"/>
                  <w:vMerge w:val="continue"/>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283" w:type="pct"/>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悬浮物</w:t>
                  </w:r>
                </w:p>
              </w:tc>
              <w:tc>
                <w:tcPr>
                  <w:tcW w:w="1058" w:type="pct"/>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668" w:type="pct"/>
                  <w:vMerge w:val="continue"/>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988" w:type="pct"/>
                  <w:vMerge w:val="continue"/>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283" w:type="pct"/>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总磷</w:t>
                  </w:r>
                </w:p>
              </w:tc>
              <w:tc>
                <w:tcPr>
                  <w:tcW w:w="1058" w:type="pct"/>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668" w:type="pct"/>
                  <w:vMerge w:val="continue"/>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988" w:type="pct"/>
                  <w:vMerge w:val="continue"/>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283" w:type="pct"/>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总氮</w:t>
                  </w:r>
                </w:p>
              </w:tc>
              <w:tc>
                <w:tcPr>
                  <w:tcW w:w="1058" w:type="pct"/>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668" w:type="pct"/>
                  <w:vMerge w:val="continue"/>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988" w:type="pct"/>
                  <w:vMerge w:val="continue"/>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283" w:type="pct"/>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总有机碳</w:t>
                  </w:r>
                </w:p>
              </w:tc>
              <w:tc>
                <w:tcPr>
                  <w:tcW w:w="1058" w:type="pct"/>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bl>
          <w:p>
            <w:pPr>
              <w:autoSpaceDE/>
              <w:autoSpaceDN/>
              <w:spacing w:line="360" w:lineRule="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三、噪声排放标准：</w:t>
            </w:r>
          </w:p>
          <w:p>
            <w:pPr>
              <w:spacing w:line="360" w:lineRule="auto"/>
              <w:ind w:firstLine="480" w:firstLineChars="200"/>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color w:val="auto"/>
                <w:sz w:val="24"/>
                <w:szCs w:val="24"/>
                <w:lang w:eastAsia="zh-CN"/>
              </w:rPr>
              <w:t>主要为设备运行时产生的噪声，执行《工业企业厂界环境噪声排放标准》（GB 12348-2008）3类标准，详见表</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w:t>
            </w:r>
          </w:p>
          <w:p>
            <w:pPr>
              <w:spacing w:line="360"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表</w:t>
            </w:r>
            <w:r>
              <w:rPr>
                <w:rFonts w:hint="default" w:ascii="Times New Roman" w:hAnsi="Times New Roman" w:eastAsia="宋体" w:cs="Times New Roman"/>
                <w:b/>
                <w:bCs/>
                <w:color w:val="auto"/>
                <w:sz w:val="21"/>
                <w:szCs w:val="21"/>
                <w:lang w:val="en-US" w:eastAsia="zh-CN"/>
              </w:rPr>
              <w:t>3</w:t>
            </w:r>
            <w:r>
              <w:rPr>
                <w:rFonts w:hint="default" w:ascii="Times New Roman" w:hAnsi="Times New Roman" w:eastAsia="宋体" w:cs="Times New Roman"/>
                <w:b/>
                <w:bCs/>
                <w:color w:val="auto"/>
                <w:sz w:val="21"/>
                <w:szCs w:val="21"/>
                <w:lang w:eastAsia="zh-CN"/>
              </w:rPr>
              <w:t xml:space="preserve">  工业企业厂界环境噪声排放标准</w:t>
            </w:r>
          </w:p>
          <w:tbl>
            <w:tblPr>
              <w:tblStyle w:val="18"/>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95"/>
              <w:gridCol w:w="4080"/>
              <w:gridCol w:w="595"/>
              <w:gridCol w:w="596"/>
              <w:gridCol w:w="107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14" w:hRule="atLeast"/>
                <w:jc w:val="center"/>
              </w:trPr>
              <w:tc>
                <w:tcPr>
                  <w:tcW w:w="429" w:type="pct"/>
                  <w:tcBorders>
                    <w:tl2br w:val="nil"/>
                    <w:tr2bl w:val="nil"/>
                  </w:tcBorders>
                  <w:shd w:val="clear" w:color="auto" w:fill="D7D7D7" w:themeFill="background1" w:themeFillShade="D8"/>
                  <w:vAlign w:val="center"/>
                </w:tcPr>
                <w:p>
                  <w:pPr>
                    <w:pStyle w:val="25"/>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lang w:eastAsia="zh-CN"/>
                    </w:rPr>
                    <w:t>类别</w:t>
                  </w:r>
                </w:p>
              </w:tc>
              <w:tc>
                <w:tcPr>
                  <w:tcW w:w="2940" w:type="pct"/>
                  <w:tcBorders>
                    <w:tl2br w:val="nil"/>
                    <w:tr2bl w:val="nil"/>
                  </w:tcBorders>
                  <w:shd w:val="clear" w:color="auto" w:fill="D7D7D7" w:themeFill="background1" w:themeFillShade="D8"/>
                  <w:vAlign w:val="center"/>
                </w:tcPr>
                <w:p>
                  <w:pPr>
                    <w:pStyle w:val="25"/>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lang w:eastAsia="zh-CN"/>
                    </w:rPr>
                    <w:t>标准名称</w:t>
                  </w:r>
                </w:p>
              </w:tc>
              <w:tc>
                <w:tcPr>
                  <w:tcW w:w="429" w:type="pct"/>
                  <w:tcBorders>
                    <w:tl2br w:val="nil"/>
                    <w:tr2bl w:val="nil"/>
                  </w:tcBorders>
                  <w:shd w:val="clear" w:color="auto" w:fill="D7D7D7" w:themeFill="background1" w:themeFillShade="D8"/>
                  <w:vAlign w:val="center"/>
                </w:tcPr>
                <w:p>
                  <w:pPr>
                    <w:pStyle w:val="25"/>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lang w:eastAsia="zh-CN"/>
                    </w:rPr>
                    <w:t>适用类别</w:t>
                  </w:r>
                </w:p>
              </w:tc>
              <w:tc>
                <w:tcPr>
                  <w:tcW w:w="1201" w:type="pct"/>
                  <w:gridSpan w:val="2"/>
                  <w:tcBorders>
                    <w:tl2br w:val="nil"/>
                    <w:tr2bl w:val="nil"/>
                  </w:tcBorders>
                  <w:shd w:val="clear" w:color="auto" w:fill="D7D7D7" w:themeFill="background1" w:themeFillShade="D8"/>
                  <w:vAlign w:val="center"/>
                </w:tcPr>
                <w:p>
                  <w:pPr>
                    <w:pStyle w:val="25"/>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lang w:eastAsia="zh-CN"/>
                    </w:rPr>
                    <w:t>标准限值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429" w:type="pct"/>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厂界噪声</w:t>
                  </w:r>
                </w:p>
              </w:tc>
              <w:tc>
                <w:tcPr>
                  <w:tcW w:w="2940" w:type="pct"/>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《工业企业厂界环境噪声排放标准》（GB 12348-2008）</w:t>
                  </w:r>
                </w:p>
              </w:tc>
              <w:tc>
                <w:tcPr>
                  <w:tcW w:w="429" w:type="pct"/>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三类标准</w:t>
                  </w:r>
                </w:p>
              </w:tc>
              <w:tc>
                <w:tcPr>
                  <w:tcW w:w="429" w:type="pct"/>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等效声级</w:t>
                  </w:r>
                </w:p>
              </w:tc>
              <w:tc>
                <w:tcPr>
                  <w:tcW w:w="772"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昼间 </w:t>
                  </w:r>
                  <w:r>
                    <w:rPr>
                      <w:rFonts w:hint="default" w:ascii="Times New Roman" w:hAnsi="Times New Roman" w:eastAsia="宋体" w:cs="Times New Roman"/>
                      <w:color w:val="auto"/>
                      <w:sz w:val="21"/>
                      <w:szCs w:val="21"/>
                      <w:lang w:val="en-US" w:eastAsia="zh-CN"/>
                    </w:rPr>
                    <w:t>65</w:t>
                  </w:r>
                  <w:r>
                    <w:rPr>
                      <w:rFonts w:hint="default" w:ascii="Times New Roman" w:hAnsi="Times New Roman" w:eastAsia="宋体" w:cs="Times New Roman"/>
                      <w:color w:val="auto"/>
                      <w:sz w:val="21"/>
                      <w:szCs w:val="21"/>
                    </w:rPr>
                    <w:t>dB(A)</w:t>
                  </w:r>
                </w:p>
                <w:p>
                  <w:pPr>
                    <w:pStyle w:val="25"/>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夜间 </w:t>
                  </w:r>
                </w:p>
                <w:p>
                  <w:pPr>
                    <w:pStyle w:val="25"/>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55</w:t>
                  </w:r>
                  <w:r>
                    <w:rPr>
                      <w:rFonts w:hint="default" w:ascii="Times New Roman" w:hAnsi="Times New Roman" w:eastAsia="宋体" w:cs="Times New Roman"/>
                      <w:color w:val="auto"/>
                      <w:sz w:val="21"/>
                      <w:szCs w:val="21"/>
                    </w:rPr>
                    <w:t>dB(A</w:t>
                  </w:r>
                </w:p>
              </w:tc>
            </w:tr>
          </w:tbl>
          <w:p>
            <w:pPr>
              <w:rPr>
                <w:rFonts w:hint="default" w:ascii="Times New Roman" w:hAnsi="Times New Roman" w:eastAsia="宋体" w:cs="Times New Roman"/>
                <w:color w:val="auto"/>
              </w:rPr>
            </w:pPr>
          </w:p>
          <w:p>
            <w:pPr>
              <w:pStyle w:val="10"/>
              <w:rPr>
                <w:rFonts w:hint="default" w:ascii="Times New Roman" w:hAnsi="Times New Roman" w:eastAsia="宋体" w:cs="Times New Roman"/>
                <w:color w:val="auto"/>
              </w:rPr>
            </w:pPr>
          </w:p>
          <w:p>
            <w:pPr>
              <w:pStyle w:val="10"/>
              <w:rPr>
                <w:rFonts w:hint="default" w:ascii="Times New Roman" w:hAnsi="Times New Roman" w:eastAsia="宋体" w:cs="Times New Roman"/>
                <w:color w:val="auto"/>
              </w:rPr>
            </w:pPr>
          </w:p>
          <w:p>
            <w:pPr>
              <w:pStyle w:val="10"/>
              <w:rPr>
                <w:rFonts w:hint="default" w:ascii="Times New Roman" w:hAnsi="Times New Roman" w:eastAsia="宋体" w:cs="Times New Roman"/>
                <w:color w:val="auto"/>
              </w:rPr>
            </w:pPr>
          </w:p>
          <w:p>
            <w:pPr>
              <w:pStyle w:val="10"/>
              <w:rPr>
                <w:rFonts w:hint="default" w:ascii="Times New Roman" w:hAnsi="Times New Roman" w:eastAsia="宋体" w:cs="Times New Roman"/>
                <w:color w:val="auto"/>
              </w:rPr>
            </w:pPr>
          </w:p>
          <w:p>
            <w:pPr>
              <w:pStyle w:val="10"/>
              <w:spacing w:before="7" w:line="360" w:lineRule="auto"/>
              <w:ind w:right="277"/>
              <w:rPr>
                <w:rFonts w:hint="default" w:ascii="Times New Roman" w:hAnsi="Times New Roman" w:eastAsia="宋体" w:cs="Times New Roman"/>
                <w:color w:val="auto"/>
                <w:sz w:val="24"/>
                <w:szCs w:val="24"/>
                <w:lang w:eastAsia="zh-CN"/>
              </w:rPr>
            </w:pPr>
          </w:p>
        </w:tc>
      </w:tr>
    </w:tbl>
    <w:p>
      <w:pPr>
        <w:widowControl/>
        <w:autoSpaceDE/>
        <w:autoSpaceDN/>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br w:type="page"/>
      </w:r>
    </w:p>
    <w:p>
      <w:pPr>
        <w:spacing w:line="386" w:lineRule="exact"/>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表二</w:t>
      </w:r>
    </w:p>
    <w:tbl>
      <w:tblPr>
        <w:tblStyle w:val="18"/>
        <w:tblW w:w="53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pPr>
              <w:spacing w:line="360" w:lineRule="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工程建设内容：</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公司发展规划及市场需求情况，湖南科伦制药有限公司岳阳分公司投资7500万元在现有厂区办公楼北侧区域新建一栋生产车间建设湖南科伦制药有限公司岳阳分公司综合制剂二改扩建项目。扩建工程主要为一栋建筑面积为7000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的生产车间，包含3条生产线。主要建设内容为主体工程、装饰工程、工艺设备及管道安装工程，电气设备及安装工程，暖通设备及安装工程，（车间内）给排水、消防设备及安装工程，热力站设备及安装工程，自控弱电设备及安装工程等。主要产品为卡巴他赛注射液(规格1.5ml)0万支、盐酸吉西他滨注射液(规格20ml)0万支（盐酸吉西他滨注射液、卡巴他赛注射液原环评均设计投产1350万支，生产线已建成，产品未生产）、100mg注射用紫杉醇(白蛋白结合型)135万瓶、5mg阿</w:t>
            </w:r>
            <w:r>
              <w:rPr>
                <w:rFonts w:hint="eastAsia" w:ascii="Times New Roman" w:hAnsi="Times New Roman" w:eastAsia="宋体" w:cs="Times New Roman"/>
                <w:color w:val="auto"/>
                <w:sz w:val="24"/>
                <w:szCs w:val="24"/>
                <w:lang w:val="en-US" w:eastAsia="zh-CN"/>
              </w:rPr>
              <w:t>昔</w:t>
            </w:r>
            <w:r>
              <w:rPr>
                <w:rFonts w:hint="default" w:ascii="Times New Roman" w:hAnsi="Times New Roman" w:eastAsia="宋体" w:cs="Times New Roman"/>
                <w:color w:val="auto"/>
                <w:sz w:val="24"/>
                <w:szCs w:val="24"/>
                <w:lang w:val="en-US" w:eastAsia="zh-CN"/>
              </w:rPr>
              <w:t>替尼片5400万片。</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项目建设内容见下表。</w:t>
            </w:r>
          </w:p>
          <w:p>
            <w:pPr>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表</w:t>
            </w:r>
            <w:r>
              <w:rPr>
                <w:rFonts w:hint="default"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lang w:eastAsia="zh-CN"/>
              </w:rPr>
              <w:t xml:space="preserve"> </w:t>
            </w:r>
            <w:r>
              <w:rPr>
                <w:rFonts w:hint="default" w:ascii="Times New Roman" w:hAnsi="Times New Roman" w:eastAsia="宋体" w:cs="Times New Roman"/>
                <w:b/>
                <w:bCs/>
                <w:color w:val="auto"/>
                <w:sz w:val="21"/>
                <w:szCs w:val="21"/>
                <w:lang w:val="en-US" w:eastAsia="zh-CN"/>
              </w:rPr>
              <w:t xml:space="preserve"> 主要建设内容一览表</w:t>
            </w:r>
          </w:p>
          <w:tbl>
            <w:tblPr>
              <w:tblStyle w:val="18"/>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1552"/>
              <w:gridCol w:w="3314"/>
              <w:gridCol w:w="31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8" w:type="pct"/>
                  <w:tcBorders>
                    <w:tl2br w:val="nil"/>
                    <w:tr2bl w:val="nil"/>
                  </w:tcBorders>
                  <w:shd w:val="clear" w:color="auto" w:fill="D7D7D7" w:themeFill="background1" w:themeFillShade="D8"/>
                  <w:vAlign w:val="center"/>
                </w:tcPr>
                <w:p>
                  <w:pPr>
                    <w:pStyle w:val="10"/>
                    <w:keepNext w:val="0"/>
                    <w:keepLines w:val="0"/>
                    <w:pageBreakBefore w:val="0"/>
                    <w:kinsoku/>
                    <w:wordWrap/>
                    <w:overflowPunct/>
                    <w:topLinePunct w:val="0"/>
                    <w:autoSpaceDE/>
                    <w:autoSpaceDN w:val="0"/>
                    <w:bidi w:val="0"/>
                    <w:spacing w:line="240" w:lineRule="auto"/>
                    <w:contextualSpacing/>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分类</w:t>
                  </w:r>
                </w:p>
              </w:tc>
              <w:tc>
                <w:tcPr>
                  <w:tcW w:w="873" w:type="pct"/>
                  <w:tcBorders>
                    <w:tl2br w:val="nil"/>
                    <w:tr2bl w:val="nil"/>
                  </w:tcBorders>
                  <w:shd w:val="clear" w:color="auto" w:fill="D7D7D7" w:themeFill="background1" w:themeFillShade="D8"/>
                  <w:vAlign w:val="center"/>
                </w:tcPr>
                <w:p>
                  <w:pPr>
                    <w:keepNext w:val="0"/>
                    <w:keepLines w:val="0"/>
                    <w:pageBreakBefore w:val="0"/>
                    <w:kinsoku/>
                    <w:wordWrap/>
                    <w:overflowPunct/>
                    <w:topLinePunct w:val="0"/>
                    <w:autoSpaceDE/>
                    <w:autoSpaceDN w:val="0"/>
                    <w:bidi w:val="0"/>
                    <w:spacing w:line="240" w:lineRule="auto"/>
                    <w:contextualSpacing/>
                    <w:jc w:val="center"/>
                    <w:textAlignment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名称</w:t>
                  </w:r>
                </w:p>
              </w:tc>
              <w:tc>
                <w:tcPr>
                  <w:tcW w:w="1864" w:type="pct"/>
                  <w:tcBorders>
                    <w:tl2br w:val="nil"/>
                    <w:tr2bl w:val="nil"/>
                  </w:tcBorders>
                  <w:shd w:val="clear" w:color="auto" w:fill="D7D7D7" w:themeFill="background1" w:themeFillShade="D8"/>
                  <w:vAlign w:val="center"/>
                </w:tcPr>
                <w:p>
                  <w:pPr>
                    <w:keepNext w:val="0"/>
                    <w:keepLines w:val="0"/>
                    <w:pageBreakBefore w:val="0"/>
                    <w:kinsoku/>
                    <w:wordWrap/>
                    <w:overflowPunct/>
                    <w:topLinePunct w:val="0"/>
                    <w:autoSpaceDE/>
                    <w:autoSpaceDN w:val="0"/>
                    <w:bidi w:val="0"/>
                    <w:spacing w:line="240" w:lineRule="auto"/>
                    <w:contextualSpacing/>
                    <w:jc w:val="center"/>
                    <w:textAlignment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环评及批复建设情况</w:t>
                  </w:r>
                </w:p>
              </w:tc>
              <w:tc>
                <w:tcPr>
                  <w:tcW w:w="1794" w:type="pct"/>
                  <w:tcBorders>
                    <w:tl2br w:val="nil"/>
                    <w:tr2bl w:val="nil"/>
                  </w:tcBorders>
                  <w:shd w:val="clear" w:color="auto" w:fill="D7D7D7" w:themeFill="background1" w:themeFillShade="D8"/>
                  <w:vAlign w:val="center"/>
                </w:tcPr>
                <w:p>
                  <w:pPr>
                    <w:keepNext w:val="0"/>
                    <w:keepLines w:val="0"/>
                    <w:pageBreakBefore w:val="0"/>
                    <w:kinsoku/>
                    <w:wordWrap/>
                    <w:overflowPunct/>
                    <w:topLinePunct w:val="0"/>
                    <w:autoSpaceDE/>
                    <w:autoSpaceDN w:val="0"/>
                    <w:bidi w:val="0"/>
                    <w:spacing w:line="240" w:lineRule="auto"/>
                    <w:contextualSpacing/>
                    <w:jc w:val="center"/>
                    <w:textAlignment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8" w:type="pct"/>
                  <w:tcBorders>
                    <w:tl2br w:val="nil"/>
                    <w:tr2bl w:val="nil"/>
                  </w:tcBorders>
                  <w:vAlign w:val="center"/>
                </w:tcPr>
                <w:p>
                  <w:pPr>
                    <w:pStyle w:val="10"/>
                    <w:keepNext w:val="0"/>
                    <w:keepLines w:val="0"/>
                    <w:pageBreakBefore w:val="0"/>
                    <w:kinsoku/>
                    <w:wordWrap/>
                    <w:overflowPunct/>
                    <w:topLinePunct w:val="0"/>
                    <w:autoSpaceDE/>
                    <w:autoSpaceDN w:val="0"/>
                    <w:bidi w:val="0"/>
                    <w:spacing w:line="240" w:lineRule="auto"/>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主体工程</w:t>
                  </w:r>
                </w:p>
              </w:tc>
              <w:tc>
                <w:tcPr>
                  <w:tcW w:w="873" w:type="pct"/>
                  <w:tcBorders>
                    <w:tl2br w:val="nil"/>
                    <w:tr2bl w:val="nil"/>
                  </w:tcBorders>
                  <w:vAlign w:val="center"/>
                </w:tcPr>
                <w:p>
                  <w:pPr>
                    <w:keepNext w:val="0"/>
                    <w:keepLines w:val="0"/>
                    <w:pageBreakBefore w:val="0"/>
                    <w:kinsoku/>
                    <w:wordWrap/>
                    <w:overflowPunct/>
                    <w:topLinePunct w:val="0"/>
                    <w:autoSpaceDE/>
                    <w:autoSpaceDN w:val="0"/>
                    <w:bidi w:val="0"/>
                    <w:spacing w:line="240" w:lineRule="auto"/>
                    <w:contextualSpacing/>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项目生产车间</w:t>
                  </w:r>
                </w:p>
              </w:tc>
              <w:tc>
                <w:tcPr>
                  <w:tcW w:w="1864" w:type="pct"/>
                  <w:tcBorders>
                    <w:tl2br w:val="nil"/>
                    <w:tr2bl w:val="nil"/>
                  </w:tcBorders>
                  <w:vAlign w:val="center"/>
                </w:tcPr>
                <w:p>
                  <w:pPr>
                    <w:keepNext w:val="0"/>
                    <w:keepLines w:val="0"/>
                    <w:pageBreakBefore w:val="0"/>
                    <w:kinsoku/>
                    <w:wordWrap/>
                    <w:overflowPunct/>
                    <w:topLinePunct w:val="0"/>
                    <w:autoSpaceDE/>
                    <w:autoSpaceDN w:val="0"/>
                    <w:bidi w:val="0"/>
                    <w:spacing w:line="240" w:lineRule="auto"/>
                    <w:contextualSpacing/>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val="en-US" w:eastAsia="en-US" w:bidi="ar-SA"/>
                    </w:rPr>
                    <w:t>一栋建筑面积为7000m</w:t>
                  </w:r>
                  <w:r>
                    <w:rPr>
                      <w:rFonts w:hint="default" w:ascii="Times New Roman" w:hAnsi="Times New Roman" w:eastAsia="宋体" w:cs="Times New Roman"/>
                      <w:color w:val="auto"/>
                      <w:kern w:val="0"/>
                      <w:sz w:val="21"/>
                      <w:szCs w:val="21"/>
                      <w:vertAlign w:val="superscript"/>
                      <w:lang w:val="en-US" w:eastAsia="en-US" w:bidi="ar-SA"/>
                    </w:rPr>
                    <w:t>2</w:t>
                  </w:r>
                  <w:r>
                    <w:rPr>
                      <w:rFonts w:hint="default" w:ascii="Times New Roman" w:hAnsi="Times New Roman" w:eastAsia="宋体" w:cs="Times New Roman"/>
                      <w:color w:val="auto"/>
                      <w:kern w:val="0"/>
                      <w:sz w:val="21"/>
                      <w:szCs w:val="21"/>
                      <w:lang w:val="en-US" w:eastAsia="en-US" w:bidi="ar-SA"/>
                    </w:rPr>
                    <w:t>的生产车间，包含3条生产线</w:t>
                  </w:r>
                  <w:r>
                    <w:rPr>
                      <w:rFonts w:hint="default" w:ascii="Times New Roman" w:hAnsi="Times New Roman" w:eastAsia="宋体" w:cs="Times New Roman"/>
                      <w:color w:val="auto"/>
                      <w:kern w:val="0"/>
                      <w:sz w:val="21"/>
                      <w:szCs w:val="21"/>
                      <w:lang w:val="en-US" w:eastAsia="zh-CN" w:bidi="ar-SA"/>
                    </w:rPr>
                    <w:t>，包含冻干粉针生产线、小容量注射液生产线、固体制剂生产线</w:t>
                  </w:r>
                </w:p>
              </w:tc>
              <w:tc>
                <w:tcPr>
                  <w:tcW w:w="1794" w:type="pct"/>
                  <w:tcBorders>
                    <w:tl2br w:val="nil"/>
                    <w:tr2bl w:val="nil"/>
                  </w:tcBorders>
                  <w:vAlign w:val="center"/>
                </w:tcPr>
                <w:p>
                  <w:pPr>
                    <w:keepNext w:val="0"/>
                    <w:keepLines w:val="0"/>
                    <w:pageBreakBefore w:val="0"/>
                    <w:kinsoku/>
                    <w:wordWrap/>
                    <w:overflowPunct/>
                    <w:topLinePunct w:val="0"/>
                    <w:autoSpaceDE/>
                    <w:autoSpaceDN w:val="0"/>
                    <w:bidi w:val="0"/>
                    <w:spacing w:line="240" w:lineRule="auto"/>
                    <w:contextualSpacing/>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小容量注射液生产线上生产的产品盐酸吉西他滨注射液(规格20ml)、</w:t>
                  </w:r>
                  <w:r>
                    <w:rPr>
                      <w:rFonts w:hint="default" w:ascii="Times New Roman" w:hAnsi="Times New Roman" w:eastAsia="宋体" w:cs="Times New Roman"/>
                      <w:color w:val="auto"/>
                      <w:sz w:val="21"/>
                      <w:szCs w:val="21"/>
                      <w:lang w:val="en-US" w:eastAsia="zh-CN"/>
                    </w:rPr>
                    <w:t>卡巴他赛注射液(规格1.5ml)</w:t>
                  </w:r>
                  <w:r>
                    <w:rPr>
                      <w:rFonts w:hint="eastAsia" w:ascii="Times New Roman" w:hAnsi="Times New Roman" w:eastAsia="宋体" w:cs="Times New Roman"/>
                      <w:color w:val="auto"/>
                      <w:sz w:val="21"/>
                      <w:szCs w:val="21"/>
                      <w:lang w:eastAsia="zh-CN"/>
                    </w:rPr>
                    <w:t>生产线已建成，产品未生产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8" w:type="pct"/>
                  <w:vMerge w:val="restar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rPr>
                    <w:t>公用工程</w:t>
                  </w:r>
                </w:p>
              </w:tc>
              <w:tc>
                <w:tcPr>
                  <w:tcW w:w="873"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rPr>
                    <w:t>供电</w:t>
                  </w:r>
                </w:p>
              </w:tc>
              <w:tc>
                <w:tcPr>
                  <w:tcW w:w="1864"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依托全厂原有</w:t>
                  </w:r>
                </w:p>
              </w:tc>
              <w:tc>
                <w:tcPr>
                  <w:tcW w:w="1794"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与环评要求一致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8" w:type="pct"/>
                  <w:vMerge w:val="continue"/>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sz w:val="21"/>
                      <w:szCs w:val="21"/>
                      <w:lang w:eastAsia="zh-CN"/>
                    </w:rPr>
                  </w:pPr>
                </w:p>
              </w:tc>
              <w:tc>
                <w:tcPr>
                  <w:tcW w:w="873"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rPr>
                    <w:t>供气</w:t>
                  </w:r>
                </w:p>
              </w:tc>
              <w:tc>
                <w:tcPr>
                  <w:tcW w:w="1864"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依托全厂原有</w:t>
                  </w:r>
                </w:p>
              </w:tc>
              <w:tc>
                <w:tcPr>
                  <w:tcW w:w="1794"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与环评要求一致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8" w:type="pct"/>
                  <w:vMerge w:val="restar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环保工程</w:t>
                  </w:r>
                </w:p>
              </w:tc>
              <w:tc>
                <w:tcPr>
                  <w:tcW w:w="873" w:type="pct"/>
                  <w:vMerge w:val="restar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废气</w:t>
                  </w:r>
                </w:p>
              </w:tc>
              <w:tc>
                <w:tcPr>
                  <w:tcW w:w="1864"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车间废气排气筒</w:t>
                  </w:r>
                  <w:r>
                    <w:rPr>
                      <w:rFonts w:hint="default" w:ascii="Times New Roman" w:hAnsi="Times New Roman" w:eastAsia="宋体" w:cs="Times New Roman"/>
                      <w:color w:val="auto"/>
                      <w:kern w:val="0"/>
                      <w:sz w:val="21"/>
                      <w:szCs w:val="21"/>
                      <w:lang w:val="en-US" w:eastAsia="en-US" w:bidi="ar-SA"/>
                    </w:rPr>
                    <w:t>（1座）</w:t>
                  </w:r>
                </w:p>
              </w:tc>
              <w:tc>
                <w:tcPr>
                  <w:tcW w:w="1794"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与环评要求一致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8" w:type="pct"/>
                  <w:vMerge w:val="continue"/>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sz w:val="21"/>
                      <w:szCs w:val="21"/>
                      <w:lang w:eastAsia="zh-CN"/>
                    </w:rPr>
                  </w:pPr>
                </w:p>
              </w:tc>
              <w:tc>
                <w:tcPr>
                  <w:tcW w:w="873" w:type="pct"/>
                  <w:vMerge w:val="continue"/>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sz w:val="21"/>
                      <w:szCs w:val="21"/>
                      <w:lang w:eastAsia="zh-CN"/>
                    </w:rPr>
                  </w:pPr>
                </w:p>
              </w:tc>
              <w:tc>
                <w:tcPr>
                  <w:tcW w:w="1864"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锅炉排气筒依托全厂现有</w:t>
                  </w:r>
                </w:p>
              </w:tc>
              <w:tc>
                <w:tcPr>
                  <w:tcW w:w="1794"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锅炉燃料由煤改成生物质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8" w:type="pct"/>
                  <w:vMerge w:val="continue"/>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sz w:val="21"/>
                      <w:szCs w:val="21"/>
                      <w:lang w:eastAsia="zh-CN"/>
                    </w:rPr>
                  </w:pPr>
                </w:p>
              </w:tc>
              <w:tc>
                <w:tcPr>
                  <w:tcW w:w="873" w:type="pct"/>
                  <w:vMerge w:val="continue"/>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sz w:val="21"/>
                      <w:szCs w:val="21"/>
                      <w:lang w:eastAsia="zh-CN"/>
                    </w:rPr>
                  </w:pPr>
                </w:p>
              </w:tc>
              <w:tc>
                <w:tcPr>
                  <w:tcW w:w="1864"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乙醇废气通过风机收集及专设排气筒</w:t>
                  </w:r>
                </w:p>
              </w:tc>
              <w:tc>
                <w:tcPr>
                  <w:tcW w:w="1794"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消杀用乙醇废气通过空调净化系统排风排放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8" w:type="pct"/>
                  <w:vMerge w:val="continue"/>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sz w:val="21"/>
                      <w:szCs w:val="21"/>
                      <w:lang w:eastAsia="zh-CN"/>
                    </w:rPr>
                  </w:pPr>
                </w:p>
              </w:tc>
              <w:tc>
                <w:tcPr>
                  <w:tcW w:w="873" w:type="pct"/>
                  <w:vMerge w:val="continue"/>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sz w:val="21"/>
                      <w:szCs w:val="21"/>
                      <w:lang w:eastAsia="zh-CN"/>
                    </w:rPr>
                  </w:pPr>
                </w:p>
              </w:tc>
              <w:tc>
                <w:tcPr>
                  <w:tcW w:w="1864"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食堂油烟经油烟净化装置处理后高于屋顶排放，依托全厂原有</w:t>
                  </w:r>
                </w:p>
              </w:tc>
              <w:tc>
                <w:tcPr>
                  <w:tcW w:w="1794"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与环评要求一致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8" w:type="pct"/>
                  <w:vMerge w:val="continue"/>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sz w:val="21"/>
                      <w:szCs w:val="21"/>
                      <w:lang w:eastAsia="zh-CN"/>
                    </w:rPr>
                  </w:pPr>
                </w:p>
              </w:tc>
              <w:tc>
                <w:tcPr>
                  <w:tcW w:w="873"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废水</w:t>
                  </w:r>
                </w:p>
              </w:tc>
              <w:tc>
                <w:tcPr>
                  <w:tcW w:w="1864"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依托</w:t>
                  </w:r>
                  <w:r>
                    <w:rPr>
                      <w:rFonts w:hint="default" w:ascii="Times New Roman" w:hAnsi="Times New Roman" w:eastAsia="宋体" w:cs="Times New Roman"/>
                      <w:color w:val="auto"/>
                      <w:kern w:val="0"/>
                      <w:sz w:val="21"/>
                      <w:szCs w:val="21"/>
                      <w:lang w:val="en-US" w:eastAsia="en-US" w:bidi="ar-SA"/>
                    </w:rPr>
                    <w:t>厂区现有污水处理站</w:t>
                  </w:r>
                </w:p>
              </w:tc>
              <w:tc>
                <w:tcPr>
                  <w:tcW w:w="1794"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与环评要求一致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8" w:type="pct"/>
                  <w:vMerge w:val="continue"/>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sz w:val="21"/>
                      <w:szCs w:val="21"/>
                      <w:lang w:eastAsia="zh-CN"/>
                    </w:rPr>
                  </w:pPr>
                </w:p>
              </w:tc>
              <w:tc>
                <w:tcPr>
                  <w:tcW w:w="873"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rPr>
                    <w:t>噪声</w:t>
                  </w:r>
                </w:p>
              </w:tc>
              <w:tc>
                <w:tcPr>
                  <w:tcW w:w="1864"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通过选用低噪声设备、基础减振、安装隔声罩、厂房隔声等措施，再经距离衰减</w:t>
                  </w:r>
                  <w:r>
                    <w:rPr>
                      <w:rFonts w:hint="default" w:ascii="Times New Roman" w:hAnsi="Times New Roman" w:eastAsia="宋体" w:cs="Times New Roman"/>
                      <w:color w:val="auto"/>
                      <w:sz w:val="21"/>
                      <w:szCs w:val="21"/>
                      <w:lang w:eastAsia="zh-CN"/>
                    </w:rPr>
                    <w:t>。</w:t>
                  </w:r>
                </w:p>
              </w:tc>
              <w:tc>
                <w:tcPr>
                  <w:tcW w:w="1794" w:type="pct"/>
                  <w:tcBorders>
                    <w:tl2br w:val="nil"/>
                    <w:tr2bl w:val="nil"/>
                  </w:tcBorders>
                  <w:vAlign w:val="center"/>
                </w:tcPr>
                <w:p>
                  <w:pPr>
                    <w:keepNext w:val="0"/>
                    <w:keepLines w:val="0"/>
                    <w:pageBreakBefore w:val="0"/>
                    <w:widowControl/>
                    <w:kinsoku/>
                    <w:wordWrap/>
                    <w:overflowPunct/>
                    <w:topLinePunct w:val="0"/>
                    <w:autoSpaceDN w:val="0"/>
                    <w:bidi w:val="0"/>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与环评要求一致</w:t>
                  </w:r>
                </w:p>
              </w:tc>
            </w:tr>
          </w:tbl>
          <w:p>
            <w:pPr>
              <w:spacing w:line="360" w:lineRule="auto"/>
              <w:ind w:firstLine="480" w:firstLineChars="200"/>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eastAsia="zh-CN" w:bidi="ar"/>
              </w:rPr>
              <w:t>本项目总投资为</w:t>
            </w:r>
            <w:r>
              <w:rPr>
                <w:rFonts w:hint="default" w:ascii="Times New Roman" w:hAnsi="Times New Roman" w:eastAsia="宋体" w:cs="Times New Roman"/>
                <w:color w:val="auto"/>
                <w:sz w:val="24"/>
                <w:szCs w:val="24"/>
                <w:lang w:eastAsia="zh-CN"/>
              </w:rPr>
              <w:t>7500</w:t>
            </w:r>
            <w:r>
              <w:rPr>
                <w:rFonts w:hint="default" w:ascii="Times New Roman" w:hAnsi="Times New Roman" w:eastAsia="宋体" w:cs="Times New Roman"/>
                <w:color w:val="auto"/>
                <w:kern w:val="2"/>
                <w:sz w:val="24"/>
                <w:szCs w:val="24"/>
                <w:lang w:eastAsia="zh-CN" w:bidi="ar"/>
              </w:rPr>
              <w:t>万元，其中环保投资</w:t>
            </w:r>
            <w:r>
              <w:rPr>
                <w:rFonts w:hint="eastAsia" w:ascii="Times New Roman" w:hAnsi="Times New Roman" w:eastAsia="宋体" w:cs="Times New Roman"/>
                <w:color w:val="auto"/>
                <w:kern w:val="2"/>
                <w:sz w:val="24"/>
                <w:szCs w:val="24"/>
                <w:lang w:val="en-US" w:eastAsia="zh-CN" w:bidi="ar"/>
              </w:rPr>
              <w:t>30</w:t>
            </w:r>
            <w:r>
              <w:rPr>
                <w:rFonts w:hint="default" w:ascii="Times New Roman" w:hAnsi="Times New Roman" w:eastAsia="宋体" w:cs="Times New Roman"/>
                <w:color w:val="auto"/>
                <w:kern w:val="2"/>
                <w:sz w:val="24"/>
                <w:szCs w:val="24"/>
                <w:lang w:eastAsia="zh-CN" w:bidi="ar"/>
              </w:rPr>
              <w:t>万元，占总投资</w:t>
            </w:r>
            <w:r>
              <w:rPr>
                <w:rFonts w:hint="default" w:ascii="Times New Roman" w:hAnsi="Times New Roman" w:eastAsia="宋体" w:cs="Times New Roman"/>
                <w:color w:val="auto"/>
                <w:kern w:val="2"/>
                <w:sz w:val="24"/>
                <w:szCs w:val="24"/>
                <w:lang w:val="en-US" w:eastAsia="zh-CN" w:bidi="ar"/>
              </w:rPr>
              <w:t>的</w:t>
            </w:r>
            <w:r>
              <w:rPr>
                <w:rFonts w:hint="default" w:ascii="Times New Roman" w:hAnsi="Times New Roman" w:eastAsia="宋体" w:cs="Times New Roman"/>
                <w:color w:val="auto"/>
                <w:sz w:val="24"/>
                <w:szCs w:val="24"/>
                <w:lang w:val="en-US" w:eastAsia="zh-CN"/>
              </w:rPr>
              <w:t>0.4%</w:t>
            </w:r>
            <w:r>
              <w:rPr>
                <w:rFonts w:hint="default" w:ascii="Times New Roman" w:hAnsi="Times New Roman" w:eastAsia="宋体" w:cs="Times New Roman"/>
                <w:color w:val="auto"/>
                <w:kern w:val="2"/>
                <w:sz w:val="24"/>
                <w:szCs w:val="24"/>
                <w:lang w:val="en-US" w:eastAsia="zh-CN" w:bidi="ar"/>
              </w:rPr>
              <w:t>。</w:t>
            </w:r>
          </w:p>
          <w:p>
            <w:pPr>
              <w:spacing w:line="360" w:lineRule="auto"/>
              <w:ind w:firstLine="480" w:firstLineChars="200"/>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bCs/>
                <w:snapToGrid w:val="0"/>
                <w:color w:val="auto"/>
                <w:kern w:val="0"/>
                <w:sz w:val="24"/>
                <w:szCs w:val="24"/>
              </w:rPr>
              <w:t>本</w:t>
            </w:r>
            <w:r>
              <w:rPr>
                <w:rFonts w:hint="default" w:ascii="Times New Roman" w:hAnsi="Times New Roman" w:eastAsia="宋体" w:cs="Times New Roman"/>
                <w:color w:val="auto"/>
                <w:kern w:val="2"/>
                <w:sz w:val="24"/>
                <w:szCs w:val="24"/>
                <w:lang w:eastAsia="zh-CN" w:bidi="ar"/>
              </w:rPr>
              <w:t>项目主要建设内容见表</w:t>
            </w:r>
            <w:r>
              <w:rPr>
                <w:rFonts w:hint="default" w:ascii="Times New Roman" w:hAnsi="Times New Roman" w:eastAsia="宋体" w:cs="Times New Roman"/>
                <w:color w:val="auto"/>
                <w:kern w:val="2"/>
                <w:sz w:val="24"/>
                <w:szCs w:val="24"/>
                <w:lang w:val="en-US" w:eastAsia="zh-CN" w:bidi="ar"/>
              </w:rPr>
              <w:t>5。</w:t>
            </w:r>
          </w:p>
          <w:p>
            <w:pPr>
              <w:spacing w:line="360" w:lineRule="auto"/>
              <w:jc w:val="center"/>
              <w:rPr>
                <w:rFonts w:hint="default" w:ascii="Times New Roman" w:hAnsi="Times New Roman" w:eastAsia="宋体" w:cs="Times New Roman"/>
                <w:b/>
                <w:bCs/>
                <w:color w:val="auto"/>
                <w:sz w:val="21"/>
                <w:szCs w:val="21"/>
                <w:lang w:val="en-US" w:eastAsia="zh-CN"/>
              </w:rPr>
            </w:pPr>
          </w:p>
          <w:p>
            <w:pPr>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表5  项目主要设备一览表</w:t>
            </w:r>
          </w:p>
          <w:tbl>
            <w:tblPr>
              <w:tblStyle w:val="18"/>
              <w:tblW w:w="888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437"/>
              <w:gridCol w:w="1068"/>
              <w:gridCol w:w="706"/>
              <w:gridCol w:w="3981"/>
              <w:gridCol w:w="26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03" w:hRule="atLeast"/>
                <w:tblHeader/>
                <w:jc w:val="center"/>
              </w:trPr>
              <w:tc>
                <w:tcPr>
                  <w:tcW w:w="437" w:type="dxa"/>
                  <w:tcBorders>
                    <w:tl2br w:val="nil"/>
                    <w:tr2bl w:val="nil"/>
                  </w:tcBorders>
                  <w:shd w:val="clear" w:color="auto" w:fill="D7D7D7" w:themeFill="background1" w:themeFillShade="D8"/>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序号</w:t>
                  </w:r>
                </w:p>
              </w:tc>
              <w:tc>
                <w:tcPr>
                  <w:tcW w:w="1068" w:type="dxa"/>
                  <w:tcBorders>
                    <w:tl2br w:val="nil"/>
                    <w:tr2bl w:val="nil"/>
                  </w:tcBorders>
                  <w:shd w:val="clear" w:color="auto" w:fill="D7D7D7" w:themeFill="background1" w:themeFillShade="D8"/>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设备名称</w:t>
                  </w:r>
                </w:p>
              </w:tc>
              <w:tc>
                <w:tcPr>
                  <w:tcW w:w="706" w:type="dxa"/>
                  <w:tcBorders>
                    <w:tl2br w:val="nil"/>
                    <w:tr2bl w:val="nil"/>
                  </w:tcBorders>
                  <w:shd w:val="clear" w:color="auto" w:fill="D7D7D7" w:themeFill="background1" w:themeFillShade="D8"/>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数量</w:t>
                  </w:r>
                </w:p>
              </w:tc>
              <w:tc>
                <w:tcPr>
                  <w:tcW w:w="3981" w:type="dxa"/>
                  <w:tcBorders>
                    <w:tl2br w:val="nil"/>
                    <w:tr2bl w:val="nil"/>
                  </w:tcBorders>
                  <w:shd w:val="clear" w:color="auto" w:fill="D7D7D7" w:themeFill="background1" w:themeFillShade="D8"/>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主要内容</w:t>
                  </w:r>
                </w:p>
              </w:tc>
              <w:tc>
                <w:tcPr>
                  <w:tcW w:w="2695" w:type="dxa"/>
                  <w:tcBorders>
                    <w:tl2br w:val="nil"/>
                    <w:tr2bl w:val="nil"/>
                  </w:tcBorders>
                  <w:shd w:val="clear" w:color="auto" w:fill="D7D7D7" w:themeFill="background1" w:themeFillShade="D8"/>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kern w:val="0"/>
                      <w:sz w:val="21"/>
                      <w:szCs w:val="21"/>
                      <w:lang w:eastAsia="zh-CN"/>
                    </w:rPr>
                    <w:t>实际内容与环评对比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37"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1</w:t>
                  </w:r>
                </w:p>
              </w:tc>
              <w:tc>
                <w:tcPr>
                  <w:tcW w:w="1068"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冻干粉针生产线生产设备</w:t>
                  </w:r>
                </w:p>
              </w:tc>
              <w:tc>
                <w:tcPr>
                  <w:tcW w:w="706"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1套</w:t>
                  </w:r>
                </w:p>
              </w:tc>
              <w:tc>
                <w:tcPr>
                  <w:tcW w:w="3981"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新增</w:t>
                  </w:r>
                  <w:r>
                    <w:rPr>
                      <w:rFonts w:hint="eastAsia" w:ascii="Times New Roman" w:hAnsi="Times New Roman" w:eastAsia="宋体" w:cs="Times New Roman"/>
                      <w:color w:val="auto"/>
                      <w:sz w:val="21"/>
                      <w:szCs w:val="21"/>
                      <w:lang w:eastAsia="zh-CN"/>
                    </w:rPr>
                    <w:t>配液系统</w:t>
                  </w:r>
                  <w:r>
                    <w:rPr>
                      <w:rFonts w:hint="default" w:ascii="Times New Roman" w:hAnsi="Times New Roman" w:eastAsia="宋体" w:cs="Times New Roman"/>
                      <w:color w:val="auto"/>
                      <w:sz w:val="21"/>
                      <w:szCs w:val="21"/>
                      <w:lang w:eastAsia="zh-CN"/>
                    </w:rPr>
                    <w:t>、灌装机、隧道烘箱、胶塞清洗灭菌机、铝盖清洗灭菌机各一台</w:t>
                  </w:r>
                </w:p>
              </w:tc>
              <w:tc>
                <w:tcPr>
                  <w:tcW w:w="2695"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37"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2</w:t>
                  </w:r>
                </w:p>
              </w:tc>
              <w:tc>
                <w:tcPr>
                  <w:tcW w:w="1068"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小容量注射液生产线生产设备</w:t>
                  </w:r>
                </w:p>
              </w:tc>
              <w:tc>
                <w:tcPr>
                  <w:tcW w:w="706"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1套</w:t>
                  </w:r>
                </w:p>
              </w:tc>
              <w:tc>
                <w:tcPr>
                  <w:tcW w:w="3981"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新增</w:t>
                  </w:r>
                  <w:r>
                    <w:rPr>
                      <w:rFonts w:hint="eastAsia" w:ascii="Times New Roman" w:hAnsi="Times New Roman" w:eastAsia="宋体" w:cs="Times New Roman"/>
                      <w:color w:val="auto"/>
                      <w:sz w:val="21"/>
                      <w:szCs w:val="21"/>
                      <w:lang w:eastAsia="zh-CN"/>
                    </w:rPr>
                    <w:t>配液系统、</w:t>
                  </w:r>
                  <w:r>
                    <w:rPr>
                      <w:rFonts w:hint="default" w:ascii="Times New Roman" w:hAnsi="Times New Roman" w:eastAsia="宋体" w:cs="Times New Roman"/>
                      <w:color w:val="auto"/>
                      <w:sz w:val="21"/>
                      <w:szCs w:val="21"/>
                      <w:lang w:eastAsia="zh-CN"/>
                    </w:rPr>
                    <w:t>灌装机、隧道烘箱、胶塞清洗灭菌机、铝盖清洗灭菌机各一台</w:t>
                  </w:r>
                </w:p>
              </w:tc>
              <w:tc>
                <w:tcPr>
                  <w:tcW w:w="2695"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437"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3</w:t>
                  </w:r>
                </w:p>
              </w:tc>
              <w:tc>
                <w:tcPr>
                  <w:tcW w:w="1068"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固体制剂生产线生产设备</w:t>
                  </w:r>
                </w:p>
              </w:tc>
              <w:tc>
                <w:tcPr>
                  <w:tcW w:w="706"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eastAsia="zh-CN"/>
                    </w:rPr>
                    <w:t>套</w:t>
                  </w:r>
                </w:p>
              </w:tc>
              <w:tc>
                <w:tcPr>
                  <w:tcW w:w="3981"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新增干法制粒机、气流粉碎机、摇摆制粒机、热风循环烘箱、高效包衣机、平板泡罩包装机各一台</w:t>
                  </w:r>
                </w:p>
              </w:tc>
              <w:tc>
                <w:tcPr>
                  <w:tcW w:w="2695"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37"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5</w:t>
                  </w:r>
                </w:p>
              </w:tc>
              <w:tc>
                <w:tcPr>
                  <w:tcW w:w="1068"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排气筒</w:t>
                  </w:r>
                </w:p>
              </w:tc>
              <w:tc>
                <w:tcPr>
                  <w:tcW w:w="706"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1座</w:t>
                  </w:r>
                </w:p>
              </w:tc>
              <w:tc>
                <w:tcPr>
                  <w:tcW w:w="3981"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Φ</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eastAsia="zh-CN"/>
                    </w:rPr>
                    <w:t>00mm，H=</w:t>
                  </w:r>
                  <w:r>
                    <w:rPr>
                      <w:rFonts w:hint="default" w:ascii="Times New Roman" w:hAnsi="Times New Roman" w:eastAsia="宋体" w:cs="Times New Roman"/>
                      <w:color w:val="auto"/>
                      <w:sz w:val="21"/>
                      <w:szCs w:val="21"/>
                      <w:lang w:val="en-US" w:eastAsia="zh-CN"/>
                    </w:rPr>
                    <w:t>20</w:t>
                  </w:r>
                  <w:r>
                    <w:rPr>
                      <w:rFonts w:hint="default" w:ascii="Times New Roman" w:hAnsi="Times New Roman" w:eastAsia="宋体" w:cs="Times New Roman"/>
                      <w:color w:val="auto"/>
                      <w:sz w:val="21"/>
                      <w:szCs w:val="21"/>
                      <w:lang w:eastAsia="zh-CN"/>
                    </w:rPr>
                    <w:t>m</w:t>
                  </w:r>
                </w:p>
              </w:tc>
              <w:tc>
                <w:tcPr>
                  <w:tcW w:w="2695"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eastAsia="zh-CN"/>
                    </w:rPr>
                    <w:t>与环评一致</w:t>
                  </w:r>
                </w:p>
              </w:tc>
            </w:tr>
          </w:tbl>
          <w:p>
            <w:pPr>
              <w:pStyle w:val="9"/>
              <w:spacing w:line="360" w:lineRule="auto"/>
              <w:ind w:firstLine="480" w:firstLineChars="200"/>
              <w:rPr>
                <w:rFonts w:hint="default" w:ascii="Times New Roman" w:hAnsi="Times New Roman" w:eastAsia="宋体" w:cs="Times New Roman"/>
                <w:color w:val="auto"/>
                <w:kern w:val="2"/>
                <w:sz w:val="24"/>
                <w:szCs w:val="24"/>
                <w:lang w:eastAsia="zh-CN" w:bidi="ar"/>
              </w:rPr>
            </w:pPr>
            <w:r>
              <w:rPr>
                <w:rFonts w:hint="default" w:ascii="Times New Roman" w:hAnsi="Times New Roman" w:eastAsia="宋体" w:cs="Times New Roman"/>
                <w:color w:val="auto"/>
                <w:kern w:val="2"/>
                <w:sz w:val="24"/>
                <w:szCs w:val="24"/>
                <w:lang w:eastAsia="zh-CN" w:bidi="ar"/>
              </w:rPr>
              <w:t>本次竣工验收范围：</w:t>
            </w:r>
          </w:p>
          <w:p>
            <w:pPr>
              <w:pStyle w:val="9"/>
              <w:spacing w:line="360" w:lineRule="auto"/>
              <w:ind w:firstLine="480" w:firstLineChars="200"/>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湖南科伦制药有限公司岳阳分公司综合制剂二扩建项目的主体工程：一栋建筑面积为7000m</w:t>
            </w:r>
            <w:r>
              <w:rPr>
                <w:rFonts w:hint="default" w:ascii="Times New Roman" w:hAnsi="Times New Roman" w:eastAsia="宋体" w:cs="Times New Roman"/>
                <w:color w:val="auto"/>
                <w:kern w:val="2"/>
                <w:sz w:val="24"/>
                <w:szCs w:val="24"/>
                <w:vertAlign w:val="superscript"/>
                <w:lang w:val="en-US" w:eastAsia="zh-CN" w:bidi="ar"/>
              </w:rPr>
              <w:t>2</w:t>
            </w:r>
            <w:r>
              <w:rPr>
                <w:rFonts w:hint="default" w:ascii="Times New Roman" w:hAnsi="Times New Roman" w:eastAsia="宋体" w:cs="Times New Roman"/>
                <w:color w:val="auto"/>
                <w:kern w:val="2"/>
                <w:sz w:val="24"/>
                <w:szCs w:val="24"/>
                <w:lang w:val="en-US" w:eastAsia="zh-CN" w:bidi="ar"/>
              </w:rPr>
              <w:t>的生产车间，包含3条生产线：冻干粉针生产线、小容量注射液生产线、固体制剂生产线及其配套设施；同时本次验收对与项目相关的水污染防治措施、大气和固体废物污染防治措施进行调查，对项目建设产生的噪声及固体废物进行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3" w:hRule="atLeast"/>
          <w:jc w:val="center"/>
        </w:trPr>
        <w:tc>
          <w:tcPr>
            <w:tcW w:w="5000" w:type="pct"/>
            <w:tcBorders>
              <w:top w:val="single" w:color="auto" w:sz="4" w:space="0"/>
              <w:left w:val="single" w:color="auto" w:sz="4" w:space="0"/>
              <w:bottom w:val="single" w:color="auto" w:sz="4" w:space="0"/>
              <w:right w:val="single" w:color="auto" w:sz="4" w:space="0"/>
            </w:tcBorders>
          </w:tcPr>
          <w:p>
            <w:pPr>
              <w:spacing w:line="360" w:lineRule="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原辅材料消耗及水平衡：</w:t>
            </w:r>
          </w:p>
          <w:p>
            <w:p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本项目主要原辅料消耗情况见下表。</w:t>
            </w:r>
          </w:p>
          <w:p>
            <w:pPr>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表6  项目原辅料消耗情况表</w:t>
            </w:r>
          </w:p>
          <w:tbl>
            <w:tblPr>
              <w:tblStyle w:val="1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7"/>
              <w:gridCol w:w="1750"/>
              <w:gridCol w:w="1910"/>
              <w:gridCol w:w="2073"/>
              <w:gridCol w:w="26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tcBorders>
                    <w:tl2br w:val="nil"/>
                    <w:tr2bl w:val="nil"/>
                  </w:tcBorders>
                  <w:shd w:val="clear" w:color="auto" w:fill="D7D7D7" w:themeFill="background1" w:themeFillShade="D8"/>
                  <w:vAlign w:val="center"/>
                </w:tcPr>
                <w:p>
                  <w:pPr>
                    <w:pStyle w:val="26"/>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序号</w:t>
                  </w:r>
                </w:p>
              </w:tc>
              <w:tc>
                <w:tcPr>
                  <w:tcW w:w="985" w:type="pct"/>
                  <w:tcBorders>
                    <w:tl2br w:val="nil"/>
                    <w:tr2bl w:val="nil"/>
                  </w:tcBorders>
                  <w:shd w:val="clear" w:color="auto" w:fill="D7D7D7" w:themeFill="background1" w:themeFillShade="D8"/>
                  <w:vAlign w:val="center"/>
                </w:tcPr>
                <w:p>
                  <w:pPr>
                    <w:pStyle w:val="26"/>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物料名称</w:t>
                  </w:r>
                </w:p>
              </w:tc>
              <w:tc>
                <w:tcPr>
                  <w:tcW w:w="1075" w:type="pct"/>
                  <w:tcBorders>
                    <w:tl2br w:val="nil"/>
                    <w:tr2bl w:val="nil"/>
                  </w:tcBorders>
                  <w:shd w:val="clear" w:color="auto" w:fill="D7D7D7" w:themeFill="background1" w:themeFillShade="D8"/>
                  <w:vAlign w:val="center"/>
                </w:tcPr>
                <w:p>
                  <w:pPr>
                    <w:pStyle w:val="26"/>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环评设计年消耗量（吨/年）</w:t>
                  </w:r>
                </w:p>
              </w:tc>
              <w:tc>
                <w:tcPr>
                  <w:tcW w:w="1167" w:type="pct"/>
                  <w:tcBorders>
                    <w:tl2br w:val="nil"/>
                    <w:tr2bl w:val="nil"/>
                  </w:tcBorders>
                  <w:shd w:val="clear" w:color="auto" w:fill="D7D7D7" w:themeFill="background1" w:themeFillShade="D8"/>
                  <w:vAlign w:val="center"/>
                </w:tcPr>
                <w:p>
                  <w:pPr>
                    <w:pStyle w:val="26"/>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实际年消耗量</w:t>
                  </w:r>
                </w:p>
                <w:p>
                  <w:pPr>
                    <w:pStyle w:val="26"/>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（吨/年）</w:t>
                  </w:r>
                </w:p>
              </w:tc>
              <w:tc>
                <w:tcPr>
                  <w:tcW w:w="1508" w:type="pct"/>
                  <w:tcBorders>
                    <w:tl2br w:val="nil"/>
                    <w:tr2bl w:val="nil"/>
                  </w:tcBorders>
                  <w:shd w:val="clear" w:color="auto" w:fill="D7D7D7" w:themeFill="background1" w:themeFillShade="D8"/>
                  <w:vAlign w:val="center"/>
                </w:tcPr>
                <w:p>
                  <w:pPr>
                    <w:pStyle w:val="26"/>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zh-TW"/>
                    </w:rPr>
                    <w:t>冻干粉针</w:t>
                  </w:r>
                  <w:r>
                    <w:rPr>
                      <w:rFonts w:hint="default" w:ascii="Times New Roman" w:hAnsi="Times New Roman" w:eastAsia="宋体" w:cs="Times New Roman"/>
                      <w:color w:val="auto"/>
                      <w:sz w:val="21"/>
                      <w:szCs w:val="21"/>
                      <w:lang w:val="zh-TW" w:eastAsia="zh-TW"/>
                    </w:rPr>
                    <w:t>生产线（产品为注射用紫杉醇）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985" w:type="pct"/>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API</w:t>
                  </w:r>
                </w:p>
              </w:tc>
              <w:tc>
                <w:tcPr>
                  <w:tcW w:w="1075" w:type="pct"/>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0.0675</w:t>
                  </w:r>
                </w:p>
              </w:tc>
              <w:tc>
                <w:tcPr>
                  <w:tcW w:w="2073" w:type="dxa"/>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0.018</w:t>
                  </w:r>
                </w:p>
              </w:tc>
              <w:tc>
                <w:tcPr>
                  <w:tcW w:w="1508" w:type="pct"/>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kern w:val="0"/>
                      <w:sz w:val="21"/>
                      <w:szCs w:val="21"/>
                      <w:lang w:val="zh-TW" w:eastAsia="zh-CN" w:bidi="ar-SA"/>
                    </w:rPr>
                  </w:pPr>
                  <w:r>
                    <w:rPr>
                      <w:rFonts w:hint="default" w:ascii="Times New Roman" w:hAnsi="Times New Roman" w:eastAsia="宋体" w:cs="Times New Roman"/>
                      <w:color w:val="auto"/>
                      <w:sz w:val="21"/>
                      <w:szCs w:val="21"/>
                      <w:lang w:val="zh-TW"/>
                    </w:rPr>
                    <w:t>注射级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985" w:type="pct"/>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zh-TW"/>
                    </w:rPr>
                    <w:t>人血白蛋白</w:t>
                  </w:r>
                </w:p>
              </w:tc>
              <w:tc>
                <w:tcPr>
                  <w:tcW w:w="1075" w:type="pct"/>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0.6075</w:t>
                  </w:r>
                </w:p>
              </w:tc>
              <w:tc>
                <w:tcPr>
                  <w:tcW w:w="2073" w:type="dxa"/>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0.166</w:t>
                  </w:r>
                </w:p>
              </w:tc>
              <w:tc>
                <w:tcPr>
                  <w:tcW w:w="1508" w:type="pct"/>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zh-TW"/>
                    </w:rPr>
                    <w:t>注射级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985" w:type="pct"/>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zh-TW"/>
                    </w:rPr>
                    <w:t>乙醇（无水）</w:t>
                  </w:r>
                </w:p>
              </w:tc>
              <w:tc>
                <w:tcPr>
                  <w:tcW w:w="1075" w:type="pct"/>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2.25</w:t>
                  </w:r>
                </w:p>
              </w:tc>
              <w:tc>
                <w:tcPr>
                  <w:tcW w:w="2073" w:type="dxa"/>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0.617</w:t>
                  </w:r>
                </w:p>
              </w:tc>
              <w:tc>
                <w:tcPr>
                  <w:tcW w:w="1508" w:type="pct"/>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zh-TW"/>
                    </w:rPr>
                    <w:t>药用级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rPr>
                    <w:t>小容量注射液生产线上生产的产品盐酸吉西他滨注射液(规格20ml)、卡巴他赛注射液(规格1.5ml)生产线已建成，产品未生产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rPr>
                    <w:t>固体制剂生产线（产品为阿西替尼片）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985" w:type="pct"/>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API</w:t>
                  </w:r>
                </w:p>
              </w:tc>
              <w:tc>
                <w:tcPr>
                  <w:tcW w:w="1075" w:type="pct"/>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0.338</w:t>
                  </w:r>
                </w:p>
              </w:tc>
              <w:tc>
                <w:tcPr>
                  <w:tcW w:w="2073" w:type="dxa"/>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0.235</w:t>
                  </w:r>
                </w:p>
              </w:tc>
              <w:tc>
                <w:tcPr>
                  <w:tcW w:w="1508" w:type="pct"/>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zh-TW"/>
                    </w:rPr>
                    <w:t>药用级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985" w:type="pct"/>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zh-TW"/>
                    </w:rPr>
                    <w:t>乳糖</w:t>
                  </w:r>
                  <w:r>
                    <w:rPr>
                      <w:rFonts w:hint="default" w:ascii="Times New Roman" w:hAnsi="Times New Roman" w:eastAsia="宋体" w:cs="Times New Roman"/>
                      <w:color w:val="auto"/>
                      <w:sz w:val="21"/>
                      <w:szCs w:val="21"/>
                    </w:rPr>
                    <w:t>100目</w:t>
                  </w:r>
                </w:p>
              </w:tc>
              <w:tc>
                <w:tcPr>
                  <w:tcW w:w="1075" w:type="pct"/>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3.645</w:t>
                  </w:r>
                </w:p>
              </w:tc>
              <w:tc>
                <w:tcPr>
                  <w:tcW w:w="2073" w:type="dxa"/>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2.530</w:t>
                  </w:r>
                </w:p>
              </w:tc>
              <w:tc>
                <w:tcPr>
                  <w:tcW w:w="1508" w:type="pct"/>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zh-TW"/>
                    </w:rPr>
                    <w:t>药用级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985" w:type="pct"/>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zh-TW"/>
                    </w:rPr>
                    <w:t>微晶纤维素</w:t>
                  </w:r>
                  <w:r>
                    <w:rPr>
                      <w:rFonts w:hint="default" w:ascii="Times New Roman" w:hAnsi="Times New Roman" w:eastAsia="宋体" w:cs="Times New Roman"/>
                      <w:color w:val="auto"/>
                      <w:sz w:val="21"/>
                      <w:szCs w:val="21"/>
                    </w:rPr>
                    <w:t>PH102</w:t>
                  </w:r>
                </w:p>
              </w:tc>
              <w:tc>
                <w:tcPr>
                  <w:tcW w:w="1075" w:type="pct"/>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7.965</w:t>
                  </w:r>
                </w:p>
              </w:tc>
              <w:tc>
                <w:tcPr>
                  <w:tcW w:w="2073" w:type="dxa"/>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5.528</w:t>
                  </w:r>
                </w:p>
              </w:tc>
              <w:tc>
                <w:tcPr>
                  <w:tcW w:w="1508" w:type="pct"/>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zh-TW"/>
                    </w:rPr>
                    <w:t>药用级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985" w:type="pct"/>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zh-TW"/>
                    </w:rPr>
                    <w:t>交联羧甲基纤维素钠</w:t>
                  </w:r>
                </w:p>
              </w:tc>
              <w:tc>
                <w:tcPr>
                  <w:tcW w:w="1075" w:type="pct"/>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0.337</w:t>
                  </w:r>
                </w:p>
              </w:tc>
              <w:tc>
                <w:tcPr>
                  <w:tcW w:w="2073" w:type="dxa"/>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0.234</w:t>
                  </w:r>
                </w:p>
              </w:tc>
              <w:tc>
                <w:tcPr>
                  <w:tcW w:w="1508" w:type="pct"/>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zh-TW"/>
                    </w:rPr>
                    <w:t>药用级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 w:type="pc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985" w:type="pct"/>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zh-TW"/>
                    </w:rPr>
                    <w:t>硬脂酸镁</w:t>
                  </w:r>
                </w:p>
              </w:tc>
              <w:tc>
                <w:tcPr>
                  <w:tcW w:w="1075" w:type="pct"/>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0.068</w:t>
                  </w:r>
                </w:p>
              </w:tc>
              <w:tc>
                <w:tcPr>
                  <w:tcW w:w="2073" w:type="dxa"/>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0.047</w:t>
                  </w:r>
                </w:p>
              </w:tc>
              <w:tc>
                <w:tcPr>
                  <w:tcW w:w="1508" w:type="pct"/>
                  <w:tcBorders>
                    <w:tl2br w:val="nil"/>
                    <w:tr2bl w:val="nil"/>
                  </w:tcBorders>
                  <w:vAlign w:val="center"/>
                </w:tcPr>
                <w:p>
                  <w:pPr>
                    <w:pStyle w:val="10"/>
                    <w:spacing w:line="276" w:lineRule="auto"/>
                    <w:ind w:left="14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zh-TW"/>
                    </w:rPr>
                    <w:t>药用级</w:t>
                  </w:r>
                </w:p>
              </w:tc>
            </w:tr>
          </w:tbl>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水平衡:</w:t>
            </w: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验收期间项目水平衡见下图：</w:t>
            </w:r>
          </w:p>
          <w:p>
            <w:pPr>
              <w:rPr>
                <w:rFonts w:hint="default" w:ascii="Times New Roman" w:hAnsi="Times New Roman" w:eastAsia="宋体" w:cs="Times New Roman"/>
                <w:color w:val="auto"/>
                <w:lang w:val="en-US" w:eastAsia="zh-CN"/>
              </w:rPr>
            </w:pPr>
            <w:r>
              <w:rPr>
                <w:rFonts w:hint="eastAsia" w:ascii="宋体" w:hAnsi="宋体" w:eastAsia="宋体" w:cs="宋体"/>
                <w:color w:val="auto"/>
                <w:lang w:val="en-US" w:eastAsia="zh-CN"/>
              </w:rPr>
              <w:t xml:space="preserve">          </w:t>
            </w:r>
            <w:r>
              <w:rPr>
                <w:rFonts w:hint="eastAsia" w:ascii="宋体" w:hAnsi="宋体" w:eastAsia="宋体" w:cs="宋体"/>
              </w:rPr>
              <w:drawing>
                <wp:inline distT="0" distB="0" distL="114300" distR="114300">
                  <wp:extent cx="4677410" cy="3422015"/>
                  <wp:effectExtent l="0" t="0" r="8890" b="698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4677410" cy="3422015"/>
                          </a:xfrm>
                          <a:prstGeom prst="rect">
                            <a:avLst/>
                          </a:prstGeom>
                          <a:noFill/>
                          <a:ln>
                            <a:noFill/>
                          </a:ln>
                        </pic:spPr>
                      </pic:pic>
                    </a:graphicData>
                  </a:graphic>
                </wp:inline>
              </w:drawing>
            </w:r>
          </w:p>
          <w:p>
            <w:pPr>
              <w:pStyle w:val="10"/>
              <w:spacing w:before="8" w:line="220" w:lineRule="auto"/>
              <w:ind w:right="157" w:firstLine="41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pacing w:val="-3"/>
                <w:sz w:val="21"/>
                <w:szCs w:val="21"/>
                <w:lang w:val="en-US" w:eastAsia="zh-CN"/>
              </w:rPr>
              <w:t>图1  项目厂区水平衡示意图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Borders>
              <w:top w:val="single" w:color="auto" w:sz="4" w:space="0"/>
              <w:left w:val="single" w:color="auto" w:sz="4" w:space="0"/>
              <w:bottom w:val="single" w:color="auto" w:sz="4" w:space="0"/>
              <w:right w:val="single" w:color="auto" w:sz="4" w:space="0"/>
            </w:tcBorders>
          </w:tcPr>
          <w:p>
            <w:pPr>
              <w:spacing w:line="360" w:lineRule="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主要工艺流程及产污环节：</w:t>
            </w:r>
          </w:p>
          <w:p>
            <w:pPr>
              <w:numPr>
                <w:ilvl w:val="0"/>
                <w:numId w:val="0"/>
              </w:numPr>
              <w:spacing w:line="360" w:lineRule="auto"/>
              <w:ind w:left="440" w:left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（1）卡巴他赛注射液生产工艺</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主要工艺说明：</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工艺说明：原辅材料再C级洁净区根据一定的比例进行配置后，经脱炭处理后再经中控系统控制粗滤后进入B级洁净区进行精滤；经注射用水清洗及灭菌（蒸汽灭菌）后的中性硼硅玻璃管制注射剂瓶进行灌装，灌装后再经半压塞处理、冻干、全压塞出箱（充无菌干燥氮气）后再进入C级洁净区；经臭氧消毒处理后的抗生素瓶用铝塑组合盖进行轧盖，再经检验后，合格品入库暂存。</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1680" w:leftChars="218" w:hanging="1200" w:hangingChars="500"/>
              <w:textAlignment w:val="auto"/>
              <w:rPr>
                <w:rFonts w:hint="eastAsia"/>
                <w:lang w:val="en-US" w:eastAsia="zh-CN"/>
              </w:rPr>
            </w:pPr>
            <w:r>
              <w:rPr>
                <w:rFonts w:hint="eastAsia" w:ascii="宋体" w:hAnsi="宋体" w:eastAsia="宋体" w:cs="宋体"/>
                <w:color w:val="auto"/>
                <w:sz w:val="24"/>
                <w:szCs w:val="24"/>
                <w:lang w:val="en-US" w:eastAsia="zh-CN"/>
              </w:rPr>
              <w:t>卡巴他赛注射液生产工艺流程见下图：</w:t>
            </w:r>
            <w:r>
              <w:rPr>
                <w:rFonts w:hint="eastAsia" w:ascii="宋体" w:hAnsi="宋体" w:eastAsia="宋体" w:cs="宋体"/>
                <w:lang w:val="en-US" w:eastAsia="zh-CN"/>
              </w:rPr>
              <w:drawing>
                <wp:inline distT="0" distB="0" distL="114300" distR="114300">
                  <wp:extent cx="4149725" cy="4381500"/>
                  <wp:effectExtent l="0" t="0" r="3175" b="0"/>
                  <wp:docPr id="4" name="图片 4" descr="1622777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22777078(1)"/>
                          <pic:cNvPicPr>
                            <a:picLocks noChangeAspect="1"/>
                          </pic:cNvPicPr>
                        </pic:nvPicPr>
                        <pic:blipFill>
                          <a:blip r:embed="rId12"/>
                          <a:stretch>
                            <a:fillRect/>
                          </a:stretch>
                        </pic:blipFill>
                        <pic:spPr>
                          <a:xfrm>
                            <a:off x="0" y="0"/>
                            <a:ext cx="4149725" cy="4381500"/>
                          </a:xfrm>
                          <a:prstGeom prst="rect">
                            <a:avLst/>
                          </a:prstGeom>
                        </pic:spPr>
                      </pic:pic>
                    </a:graphicData>
                  </a:graphic>
                </wp:inline>
              </w:drawing>
            </w:r>
            <w:r>
              <w:rPr>
                <w:rFonts w:hint="eastAsia" w:ascii="宋体" w:hAnsi="宋体" w:eastAsia="宋体" w:cs="宋体"/>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10" w:firstLineChars="200"/>
              <w:jc w:val="center"/>
              <w:textAlignment w:val="auto"/>
              <w:rPr>
                <w:rFonts w:hint="eastAsia" w:ascii="宋体" w:hAnsi="宋体" w:eastAsia="宋体" w:cs="宋体"/>
                <w:lang w:val="en-US" w:eastAsia="zh-CN"/>
              </w:rPr>
            </w:pPr>
            <w:r>
              <w:rPr>
                <w:rFonts w:hint="eastAsia" w:ascii="宋体" w:hAnsi="宋体" w:eastAsia="宋体" w:cs="宋体"/>
                <w:b/>
                <w:bCs/>
                <w:color w:val="auto"/>
                <w:spacing w:val="-3"/>
                <w:sz w:val="21"/>
                <w:szCs w:val="21"/>
                <w:lang w:val="en-US" w:eastAsia="zh-CN"/>
              </w:rPr>
              <w:t>图2  卡巴他赛注射液生产工艺流程及产污节点图</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（2）盐酸吉西他滨注射液生产工艺</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主要工艺说明：</w:t>
            </w:r>
          </w:p>
          <w:p>
            <w:pPr>
              <w:pStyle w:val="2"/>
              <w:spacing w:line="360" w:lineRule="auto"/>
              <w:ind w:firstLine="480" w:firstLineChars="200"/>
              <w:rPr>
                <w:rFonts w:hint="eastAsia" w:ascii="宋体" w:hAnsi="宋体" w:eastAsia="宋体" w:cs="宋体"/>
                <w:color w:val="auto"/>
                <w:kern w:val="0"/>
                <w:sz w:val="24"/>
                <w:szCs w:val="22"/>
                <w:lang w:val="en-US" w:eastAsia="zh-CN" w:bidi="ar-SA"/>
              </w:rPr>
            </w:pPr>
            <w:r>
              <w:rPr>
                <w:rFonts w:hint="eastAsia" w:ascii="宋体" w:hAnsi="宋体" w:eastAsia="宋体" w:cs="宋体"/>
                <w:color w:val="auto"/>
                <w:kern w:val="0"/>
                <w:sz w:val="24"/>
                <w:szCs w:val="22"/>
                <w:lang w:val="en-US" w:eastAsia="zh-CN" w:bidi="ar-SA"/>
              </w:rPr>
              <w:t>原辅材料再C级洁净区根据一定的比例进行配置后，经浓配、脱炭、稀配处理后进入B级洁净区，浓配及稀配工序添加一定量经过滤后的注射用水；经精滤处理后再由过滤后的注射用水清洗及干热灭菌（蒸汽灭菌）后的管制西林瓶进行灌装，灌装后经过滤后注射用水洗涤、灭菌（蒸汽灭菌）、干燥处理的丁基胶塞进行全压塞处理，处理后进入C级洁净区；经臭氧消毒处理后的复合铝塑盖进行轧盖，经蒸汽灭菌处理、检验后，合格品入库暂存。</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盐酸吉西他滨注射液生产工艺流程见下图：</w:t>
            </w:r>
          </w:p>
          <w:p>
            <w:pPr>
              <w:pStyle w:val="2"/>
            </w:pPr>
            <w:r>
              <w:rPr>
                <w:rFonts w:hint="eastAsia"/>
                <w:lang w:val="en-US" w:eastAsia="zh-CN"/>
              </w:rPr>
              <w:t xml:space="preserve">           </w:t>
            </w:r>
            <w:r>
              <w:drawing>
                <wp:inline distT="0" distB="0" distL="114300" distR="114300">
                  <wp:extent cx="3521710" cy="4264660"/>
                  <wp:effectExtent l="0" t="0" r="2540" b="254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3"/>
                          <a:stretch>
                            <a:fillRect/>
                          </a:stretch>
                        </pic:blipFill>
                        <pic:spPr>
                          <a:xfrm>
                            <a:off x="0" y="0"/>
                            <a:ext cx="3521710" cy="4264660"/>
                          </a:xfrm>
                          <a:prstGeom prst="rect">
                            <a:avLst/>
                          </a:prstGeom>
                          <a:noFill/>
                          <a:ln>
                            <a:noFill/>
                          </a:ln>
                        </pic:spPr>
                      </pic:pic>
                    </a:graphicData>
                  </a:graphic>
                </wp:inline>
              </w:drawing>
            </w:r>
          </w:p>
          <w:p>
            <w:pPr>
              <w:pStyle w:val="3"/>
              <w:jc w:val="center"/>
              <w:rPr>
                <w:rFonts w:hint="eastAsia"/>
                <w:lang w:val="en-US" w:eastAsia="zh-CN"/>
              </w:rPr>
            </w:pPr>
            <w:r>
              <w:rPr>
                <w:rFonts w:hint="eastAsia" w:ascii="宋体" w:hAnsi="宋体" w:eastAsia="宋体" w:cs="宋体"/>
                <w:b/>
                <w:bCs/>
                <w:color w:val="auto"/>
                <w:spacing w:val="-3"/>
                <w:sz w:val="21"/>
                <w:szCs w:val="21"/>
                <w:lang w:val="en-US" w:eastAsia="zh-CN"/>
              </w:rPr>
              <w:t>图2  盐酸吉西他滨注射液生产工艺流程及产污节点图</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220" w:leftChars="0" w:firstLine="240" w:firstLineChars="1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（3）注射用紫杉醇生产工艺</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主要工艺说明：</w:t>
            </w:r>
          </w:p>
          <w:p>
            <w:pPr>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人血白蛋白在C级洁净区加入注射用水进行混合保温后加入紫杉醇和无水乙醇的混合液进行乳化、冷却、预过滤、超滤浓缩（加注射用水）、粗滤后进入B级洁净区；经粗滤后再经中控系统控制灌装，灌装采用经注射用水清洗及灭菌（蒸汽灭菌）后的中性硼硅玻璃管制注射剂瓶进行灌装；灌装后再经半压塞处理，半压塞处理采取经干燥、湿热灭菌、清洗后的注射用冷冻干燥无菌粉末用覆聚四氟乙烯或者乙烯共聚物膜膜氯卤化丁基橡胶塞；再经冷冻、干燥、全压塞出箱处理后进入C级洁净区；经臭氧消毒处理后的抗生素瓶用铝塑组合盖进行轧盖，再经检验后，合格品入库暂存。</w:t>
            </w:r>
          </w:p>
          <w:p>
            <w:pPr>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原辅材料再C级洁净区根据一定的比例进行配置后，经浓配、脱炭、稀配处理后进入B级洁净区，浓配及稀配工序添加一定量经过滤后的注射用水；经精滤处理后再由过滤后的注射用水清洗及干热灭菌（蒸汽灭菌）后的管制西林瓶进行灌装，灌装后经过滤后注射用水洗涤、灭菌（蒸汽灭菌）、干燥处理的丁基胶塞进行全压塞处理，处理后进入C级洁净区；经臭氧消毒处理后的复合铝塑盖进行轧盖，经蒸汽灭菌处理、检验后，合格品入库暂存。</w:t>
            </w:r>
          </w:p>
          <w:p>
            <w:pPr>
              <w:pStyle w:val="10"/>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lang w:val="en-US" w:eastAsia="zh-CN"/>
              </w:rPr>
              <w:t>盐酸吉西他滨注射液</w:t>
            </w:r>
            <w:r>
              <w:rPr>
                <w:rFonts w:hint="default" w:ascii="Times New Roman" w:hAnsi="Times New Roman" w:eastAsia="宋体" w:cs="Times New Roman"/>
                <w:color w:val="auto"/>
                <w:sz w:val="24"/>
                <w:lang w:val="en-US" w:eastAsia="zh-CN"/>
              </w:rPr>
              <w:t>生产工艺流程见下图：</w:t>
            </w:r>
          </w:p>
          <w:p>
            <w:pPr>
              <w:pStyle w:val="11"/>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drawing>
                <wp:inline distT="0" distB="0" distL="114300" distR="114300">
                  <wp:extent cx="5191125" cy="5048885"/>
                  <wp:effectExtent l="0" t="0" r="9525" b="18415"/>
                  <wp:docPr id="8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
                          <pic:cNvPicPr>
                            <a:picLocks noChangeAspect="1"/>
                          </pic:cNvPicPr>
                        </pic:nvPicPr>
                        <pic:blipFill>
                          <a:blip r:embed="rId14"/>
                          <a:stretch>
                            <a:fillRect/>
                          </a:stretch>
                        </pic:blipFill>
                        <pic:spPr>
                          <a:xfrm>
                            <a:off x="0" y="0"/>
                            <a:ext cx="5191125" cy="5048885"/>
                          </a:xfrm>
                          <a:prstGeom prst="rect">
                            <a:avLst/>
                          </a:prstGeom>
                          <a:noFill/>
                          <a:ln>
                            <a:noFill/>
                          </a:ln>
                        </pic:spPr>
                      </pic:pic>
                    </a:graphicData>
                  </a:graphic>
                </wp:inline>
              </w:drawing>
            </w:r>
          </w:p>
          <w:p>
            <w:pPr>
              <w:pStyle w:val="10"/>
              <w:spacing w:before="8" w:line="220" w:lineRule="auto"/>
              <w:ind w:right="157"/>
              <w:jc w:val="center"/>
              <w:rPr>
                <w:rFonts w:hint="default" w:ascii="Times New Roman" w:hAnsi="Times New Roman" w:eastAsia="宋体" w:cs="Times New Roman"/>
                <w:b/>
                <w:bCs/>
                <w:color w:val="auto"/>
                <w:spacing w:val="-3"/>
                <w:sz w:val="21"/>
                <w:szCs w:val="21"/>
                <w:lang w:val="en-US" w:eastAsia="zh-CN"/>
              </w:rPr>
            </w:pPr>
            <w:r>
              <w:rPr>
                <w:rFonts w:hint="default" w:ascii="Times New Roman" w:hAnsi="Times New Roman" w:eastAsia="宋体" w:cs="Times New Roman"/>
                <w:b/>
                <w:bCs/>
                <w:color w:val="auto"/>
                <w:spacing w:val="-3"/>
                <w:sz w:val="21"/>
                <w:szCs w:val="21"/>
                <w:lang w:val="en-US" w:eastAsia="zh-CN"/>
              </w:rPr>
              <w:t>图</w:t>
            </w:r>
            <w:r>
              <w:rPr>
                <w:rFonts w:hint="eastAsia" w:ascii="Times New Roman" w:hAnsi="Times New Roman" w:eastAsia="宋体" w:cs="Times New Roman"/>
                <w:b/>
                <w:bCs/>
                <w:color w:val="auto"/>
                <w:spacing w:val="-3"/>
                <w:sz w:val="21"/>
                <w:szCs w:val="21"/>
                <w:lang w:val="en-US" w:eastAsia="zh-CN"/>
              </w:rPr>
              <w:t>4</w:t>
            </w:r>
            <w:r>
              <w:rPr>
                <w:rFonts w:hint="default" w:ascii="Times New Roman" w:hAnsi="Times New Roman" w:eastAsia="宋体" w:cs="Times New Roman"/>
                <w:b/>
                <w:bCs/>
                <w:color w:val="auto"/>
                <w:spacing w:val="-3"/>
                <w:sz w:val="21"/>
                <w:szCs w:val="21"/>
                <w:lang w:val="en-US" w:eastAsia="zh-CN"/>
              </w:rPr>
              <w:t xml:space="preserve">  紫杉醇生产工艺流程及产污环节图</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440" w:leftChars="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（4）阿</w:t>
            </w:r>
            <w:r>
              <w:rPr>
                <w:rFonts w:hint="eastAsia" w:ascii="Times New Roman" w:hAnsi="Times New Roman" w:eastAsia="宋体" w:cs="Times New Roman"/>
                <w:color w:val="auto"/>
                <w:sz w:val="24"/>
                <w:szCs w:val="24"/>
                <w:lang w:val="en-US" w:eastAsia="zh-CN"/>
              </w:rPr>
              <w:t>昔</w:t>
            </w:r>
            <w:r>
              <w:rPr>
                <w:rFonts w:hint="default" w:ascii="Times New Roman" w:hAnsi="Times New Roman" w:eastAsia="宋体" w:cs="Times New Roman"/>
                <w:color w:val="auto"/>
                <w:sz w:val="24"/>
                <w:szCs w:val="24"/>
                <w:lang w:val="en-US" w:eastAsia="zh-CN"/>
              </w:rPr>
              <w:t>替尼片生产工艺</w:t>
            </w:r>
          </w:p>
          <w:p>
            <w:pPr>
              <w:snapToGrid w:val="0"/>
              <w:spacing w:line="360" w:lineRule="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主要工艺说明：</w:t>
            </w:r>
          </w:p>
          <w:p>
            <w:pPr>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阿昔替尼经气流粉碎后在D50＜3μm、D90＜7.5μm后和经过筛处理的乳糖（60目）再经60目筛混合三次后混合（混合1），交联羧甲基纤维素钠经过筛（80目）再与混合1混合（混合2），微晶纤维素pH102经过筛（60目）处理后再与混合2的物质经多向运动混合20min后得到混合3物质，混合3物质再与硬脂酸镁多向运动混合5min后物质再经压片处理，得到规格为5mg：φ8mm浅凹及1mg：φ6.5mm浅凹，再胃溶薄膜包衣预混辅料、纯化水（包衣液浓度：8-15%）进行包衣；内包装材料经脱包消毒处理后进行内包装，再经打印批号的外包装材料进行外包装后成品进行入库。</w:t>
            </w:r>
          </w:p>
          <w:p>
            <w:pPr>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szCs w:val="24"/>
                <w:lang w:val="en-US" w:eastAsia="zh-CN"/>
              </w:rPr>
              <w:t>阿西替尼片</w:t>
            </w:r>
            <w:r>
              <w:rPr>
                <w:rFonts w:hint="default" w:ascii="Times New Roman" w:hAnsi="Times New Roman" w:eastAsia="宋体" w:cs="Times New Roman"/>
                <w:color w:val="auto"/>
                <w:sz w:val="24"/>
                <w:lang w:val="en-US" w:eastAsia="zh-CN"/>
              </w:rPr>
              <w:t>生产工艺流程见下图：</w:t>
            </w:r>
          </w:p>
          <w:p>
            <w:pPr>
              <w:pStyle w:val="1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drawing>
                <wp:inline distT="0" distB="0" distL="114300" distR="114300">
                  <wp:extent cx="5400675" cy="5468620"/>
                  <wp:effectExtent l="0" t="0" r="9525" b="17780"/>
                  <wp:docPr id="8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
                          <pic:cNvPicPr>
                            <a:picLocks noChangeAspect="1"/>
                          </pic:cNvPicPr>
                        </pic:nvPicPr>
                        <pic:blipFill>
                          <a:blip r:embed="rId15"/>
                          <a:stretch>
                            <a:fillRect/>
                          </a:stretch>
                        </pic:blipFill>
                        <pic:spPr>
                          <a:xfrm>
                            <a:off x="0" y="0"/>
                            <a:ext cx="5400675" cy="5468620"/>
                          </a:xfrm>
                          <a:prstGeom prst="rect">
                            <a:avLst/>
                          </a:prstGeom>
                          <a:noFill/>
                          <a:ln>
                            <a:noFill/>
                          </a:ln>
                        </pic:spPr>
                      </pic:pic>
                    </a:graphicData>
                  </a:graphic>
                </wp:inline>
              </w:drawing>
            </w:r>
          </w:p>
          <w:p>
            <w:pPr>
              <w:pStyle w:val="10"/>
              <w:spacing w:before="8" w:line="220" w:lineRule="auto"/>
              <w:ind w:right="157"/>
              <w:jc w:val="center"/>
              <w:rPr>
                <w:rFonts w:hint="default" w:ascii="Times New Roman" w:hAnsi="Times New Roman" w:eastAsia="宋体" w:cs="Times New Roman"/>
                <w:color w:val="auto"/>
                <w:lang w:eastAsia="zh-CN"/>
              </w:rPr>
            </w:pPr>
            <w:r>
              <w:rPr>
                <w:rFonts w:hint="default" w:ascii="Times New Roman" w:hAnsi="Times New Roman" w:eastAsia="宋体" w:cs="Times New Roman"/>
                <w:b/>
                <w:bCs/>
                <w:color w:val="auto"/>
                <w:spacing w:val="-3"/>
                <w:sz w:val="21"/>
                <w:szCs w:val="21"/>
                <w:lang w:val="en-US" w:eastAsia="zh-CN"/>
              </w:rPr>
              <w:t>图</w:t>
            </w:r>
            <w:r>
              <w:rPr>
                <w:rFonts w:hint="eastAsia" w:ascii="Times New Roman" w:hAnsi="Times New Roman" w:eastAsia="宋体" w:cs="Times New Roman"/>
                <w:b/>
                <w:bCs/>
                <w:color w:val="auto"/>
                <w:spacing w:val="-3"/>
                <w:sz w:val="21"/>
                <w:szCs w:val="21"/>
                <w:lang w:val="en-US" w:eastAsia="zh-CN"/>
              </w:rPr>
              <w:t>5</w:t>
            </w:r>
            <w:r>
              <w:rPr>
                <w:rFonts w:hint="default" w:ascii="Times New Roman" w:hAnsi="Times New Roman" w:eastAsia="宋体" w:cs="Times New Roman"/>
                <w:b/>
                <w:bCs/>
                <w:color w:val="auto"/>
                <w:spacing w:val="-3"/>
                <w:sz w:val="21"/>
                <w:szCs w:val="21"/>
                <w:lang w:val="en-US" w:eastAsia="zh-CN"/>
              </w:rPr>
              <w:t xml:space="preserve">  阿西替尼生产工艺流程及产污环节图</w:t>
            </w:r>
          </w:p>
        </w:tc>
      </w:tr>
    </w:tbl>
    <w:p>
      <w:pPr>
        <w:pStyle w:val="1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br w:type="page"/>
      </w:r>
    </w:p>
    <w:p>
      <w:pPr>
        <w:pStyle w:val="10"/>
        <w:spacing w:before="8" w:line="220" w:lineRule="auto"/>
        <w:ind w:right="157"/>
        <w:jc w:val="both"/>
        <w:rPr>
          <w:rFonts w:hint="default" w:ascii="Times New Roman" w:hAnsi="Times New Roman" w:eastAsia="宋体" w:cs="Times New Roman"/>
          <w:b/>
          <w:color w:val="auto"/>
          <w:lang w:eastAsia="zh-CN"/>
        </w:rPr>
      </w:pPr>
      <w:r>
        <w:rPr>
          <w:rFonts w:hint="default" w:ascii="Times New Roman" w:hAnsi="Times New Roman" w:eastAsia="宋体" w:cs="Times New Roman"/>
          <w:b/>
          <w:color w:val="auto"/>
          <w:lang w:eastAsia="zh-CN"/>
        </w:rPr>
        <w:t>表三</w:t>
      </w:r>
    </w:p>
    <w:tbl>
      <w:tblPr>
        <w:tblStyle w:val="18"/>
        <w:tblW w:w="521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5" w:hRule="atLeast"/>
          <w:jc w:val="center"/>
        </w:trPr>
        <w:tc>
          <w:tcPr>
            <w:tcW w:w="5000" w:type="pct"/>
          </w:tcPr>
          <w:p>
            <w:pPr>
              <w:keepNext w:val="0"/>
              <w:keepLines w:val="0"/>
              <w:pageBreakBefore w:val="0"/>
              <w:widowControl w:val="0"/>
              <w:kinsoku/>
              <w:wordWrap/>
              <w:overflowPunct/>
              <w:topLinePunct w:val="0"/>
              <w:bidi w:val="0"/>
              <w:adjustRightInd/>
              <w:snapToGrid/>
              <w:spacing w:line="360" w:lineRule="auto"/>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主要污染源、污染物处理和排放：</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一、废水</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lang w:val="en-US" w:eastAsia="zh-CN"/>
              </w:rPr>
              <w:t>废水</w:t>
            </w:r>
            <w:r>
              <w:rPr>
                <w:rFonts w:hint="eastAsia" w:ascii="Times New Roman" w:hAnsi="Times New Roman" w:eastAsia="宋体" w:cs="Times New Roman"/>
                <w:color w:val="auto"/>
                <w:sz w:val="24"/>
                <w:szCs w:val="24"/>
                <w:lang w:val="en-US" w:eastAsia="zh-CN"/>
              </w:rPr>
              <w:t>合并排入</w:t>
            </w:r>
            <w:r>
              <w:rPr>
                <w:rFonts w:hint="default" w:ascii="Times New Roman" w:hAnsi="Times New Roman" w:eastAsia="宋体" w:cs="Times New Roman"/>
                <w:color w:val="auto"/>
                <w:sz w:val="24"/>
                <w:szCs w:val="24"/>
                <w:lang w:val="en-US" w:eastAsia="zh-CN"/>
              </w:rPr>
              <w:t>厂区污水处理站，采用“预处理+水解酸化+接触氧化”工艺</w:t>
            </w:r>
            <w:r>
              <w:rPr>
                <w:rFonts w:hint="eastAsia" w:ascii="Times New Roman" w:hAnsi="Times New Roman" w:eastAsia="宋体" w:cs="Times New Roman"/>
                <w:color w:val="auto"/>
                <w:sz w:val="24"/>
                <w:szCs w:val="24"/>
                <w:lang w:val="en-US" w:eastAsia="zh-CN"/>
              </w:rPr>
              <w:t>进行处理；全厂废水排放量约1450m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/d（污水处理站设计规模1600m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/d）</w:t>
            </w:r>
            <w:r>
              <w:rPr>
                <w:rFonts w:hint="default" w:ascii="Times New Roman" w:hAnsi="Times New Roman" w:eastAsia="宋体" w:cs="Times New Roman"/>
                <w:color w:val="auto"/>
                <w:sz w:val="24"/>
                <w:szCs w:val="24"/>
                <w:lang w:val="en-US" w:eastAsia="zh-CN"/>
              </w:rPr>
              <w:t>本项目废水来源、防治措施、排放情况见下表：</w:t>
            </w:r>
          </w:p>
          <w:p>
            <w:pPr>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表7     项目废水产生来源、排放去向、排放方式一览表</w:t>
            </w:r>
          </w:p>
          <w:tbl>
            <w:tblPr>
              <w:tblStyle w:val="18"/>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36"/>
              <w:gridCol w:w="1339"/>
              <w:gridCol w:w="2183"/>
              <w:gridCol w:w="1511"/>
              <w:gridCol w:w="1260"/>
              <w:gridCol w:w="11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7" w:type="pct"/>
                  <w:tcBorders>
                    <w:tl2br w:val="nil"/>
                    <w:tr2bl w:val="nil"/>
                  </w:tcBorders>
                  <w:shd w:val="clear" w:color="auto" w:fill="BEBEBE" w:themeFill="background1" w:themeFillShade="BF"/>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来源</w:t>
                  </w:r>
                </w:p>
              </w:tc>
              <w:tc>
                <w:tcPr>
                  <w:tcW w:w="759" w:type="pct"/>
                  <w:tcBorders>
                    <w:tl2br w:val="nil"/>
                    <w:tr2bl w:val="nil"/>
                  </w:tcBorders>
                  <w:shd w:val="clear" w:color="auto" w:fill="BEBEBE" w:themeFill="background1" w:themeFillShade="BF"/>
                  <w:noWrap w:val="0"/>
                  <w:vAlign w:val="center"/>
                </w:tcPr>
                <w:p>
                  <w:pPr>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主要污染因子</w:t>
                  </w:r>
                </w:p>
              </w:tc>
              <w:tc>
                <w:tcPr>
                  <w:tcW w:w="1237" w:type="pct"/>
                  <w:tcBorders>
                    <w:tl2br w:val="nil"/>
                    <w:tr2bl w:val="nil"/>
                  </w:tcBorders>
                  <w:shd w:val="clear" w:color="auto" w:fill="BEBEBE" w:themeFill="background1" w:themeFillShade="BF"/>
                  <w:noWrap w:val="0"/>
                  <w:vAlign w:val="center"/>
                </w:tcPr>
                <w:p>
                  <w:pPr>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防治措施</w:t>
                  </w:r>
                </w:p>
              </w:tc>
              <w:tc>
                <w:tcPr>
                  <w:tcW w:w="856" w:type="pct"/>
                  <w:tcBorders>
                    <w:tl2br w:val="nil"/>
                    <w:tr2bl w:val="nil"/>
                  </w:tcBorders>
                  <w:shd w:val="clear" w:color="auto" w:fill="BEBEBE" w:themeFill="background1" w:themeFillShade="BF"/>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排放去向</w:t>
                  </w:r>
                </w:p>
              </w:tc>
              <w:tc>
                <w:tcPr>
                  <w:tcW w:w="714" w:type="pct"/>
                  <w:tcBorders>
                    <w:tl2br w:val="nil"/>
                    <w:tr2bl w:val="nil"/>
                  </w:tcBorders>
                  <w:shd w:val="clear" w:color="auto" w:fill="BEBEBE" w:themeFill="background1" w:themeFillShade="BF"/>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排放方式</w:t>
                  </w:r>
                </w:p>
              </w:tc>
              <w:tc>
                <w:tcPr>
                  <w:tcW w:w="672" w:type="pct"/>
                  <w:tcBorders>
                    <w:tl2br w:val="nil"/>
                    <w:tr2bl w:val="nil"/>
                  </w:tcBorders>
                  <w:shd w:val="clear" w:color="auto" w:fill="BEBEBE" w:themeFill="background1" w:themeFillShade="BF"/>
                  <w:noWrap w:val="0"/>
                  <w:vAlign w:val="center"/>
                </w:tcPr>
                <w:p>
                  <w:pPr>
                    <w:jc w:val="center"/>
                    <w:rPr>
                      <w:rFonts w:hint="default"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是否与环评一致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3" w:hRule="atLeast"/>
              </w:trPr>
              <w:tc>
                <w:tcPr>
                  <w:tcW w:w="757" w:type="pct"/>
                  <w:tcBorders>
                    <w:tl2br w:val="nil"/>
                    <w:tr2bl w:val="nil"/>
                  </w:tcBorders>
                  <w:shd w:val="clear" w:color="auto" w:fill="auto"/>
                  <w:noWrap w:val="0"/>
                  <w:vAlign w:val="center"/>
                </w:tcPr>
                <w:p>
                  <w:pPr>
                    <w:pStyle w:val="42"/>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洗瓶、洗塞废水、地面冲洗水</w:t>
                  </w:r>
                </w:p>
              </w:tc>
              <w:tc>
                <w:tcPr>
                  <w:tcW w:w="759" w:type="pct"/>
                  <w:tcBorders>
                    <w:tl2br w:val="nil"/>
                    <w:tr2bl w:val="nil"/>
                  </w:tcBorders>
                  <w:shd w:val="clear" w:color="auto" w:fill="auto"/>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pH、COD</w:t>
                  </w:r>
                  <w:r>
                    <w:rPr>
                      <w:rFonts w:hint="default" w:ascii="Times New Roman" w:hAnsi="Times New Roman" w:eastAsia="宋体" w:cs="Times New Roman"/>
                      <w:color w:val="auto"/>
                      <w:sz w:val="21"/>
                      <w:szCs w:val="21"/>
                      <w:vertAlign w:val="subscript"/>
                      <w:lang w:val="en-US" w:eastAsia="zh-CN"/>
                    </w:rPr>
                    <w:t>Cr</w:t>
                  </w: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r>
                    <w:rPr>
                      <w:rFonts w:hint="default" w:ascii="Times New Roman" w:hAnsi="Times New Roman" w:eastAsia="宋体" w:cs="Times New Roman"/>
                      <w:color w:val="auto"/>
                      <w:sz w:val="21"/>
                      <w:szCs w:val="21"/>
                      <w:lang w:val="en-US" w:eastAsia="zh-CN"/>
                    </w:rPr>
                    <w:t>、氨氮、SS</w:t>
                  </w:r>
                </w:p>
              </w:tc>
              <w:tc>
                <w:tcPr>
                  <w:tcW w:w="1237" w:type="pct"/>
                  <w:tcBorders>
                    <w:tl2br w:val="nil"/>
                    <w:tr2bl w:val="nil"/>
                  </w:tcBorders>
                  <w:shd w:val="clear" w:color="auto" w:fill="auto"/>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与生活污水合并排入厂区污水处理站进行处理</w:t>
                  </w:r>
                </w:p>
              </w:tc>
              <w:tc>
                <w:tcPr>
                  <w:tcW w:w="856" w:type="pct"/>
                  <w:tcBorders>
                    <w:tl2br w:val="nil"/>
                    <w:tr2bl w:val="nil"/>
                  </w:tcBorders>
                  <w:shd w:val="clear" w:color="auto" w:fill="auto"/>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排入厂区污水处理站</w:t>
                  </w:r>
                </w:p>
              </w:tc>
              <w:tc>
                <w:tcPr>
                  <w:tcW w:w="714" w:type="pct"/>
                  <w:tcBorders>
                    <w:tl2br w:val="nil"/>
                    <w:tr2bl w:val="nil"/>
                  </w:tcBorders>
                  <w:shd w:val="clear" w:color="auto" w:fill="auto"/>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间歇、间接排放</w:t>
                  </w:r>
                </w:p>
              </w:tc>
              <w:tc>
                <w:tcPr>
                  <w:tcW w:w="672" w:type="pct"/>
                  <w:tcBorders>
                    <w:tl2br w:val="nil"/>
                    <w:tr2bl w:val="nil"/>
                  </w:tcBorders>
                  <w:shd w:val="clear" w:color="auto" w:fill="auto"/>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8" w:hRule="atLeast"/>
              </w:trPr>
              <w:tc>
                <w:tcPr>
                  <w:tcW w:w="757" w:type="pct"/>
                  <w:tcBorders>
                    <w:tl2br w:val="nil"/>
                    <w:tr2bl w:val="nil"/>
                  </w:tcBorders>
                  <w:shd w:val="clear" w:color="auto" w:fill="auto"/>
                  <w:noWrap w:val="0"/>
                  <w:vAlign w:val="center"/>
                </w:tcPr>
                <w:p>
                  <w:pPr>
                    <w:pStyle w:val="42"/>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员工生活污水</w:t>
                  </w:r>
                </w:p>
              </w:tc>
              <w:tc>
                <w:tcPr>
                  <w:tcW w:w="759" w:type="pct"/>
                  <w:tcBorders>
                    <w:tl2br w:val="nil"/>
                    <w:tr2bl w:val="nil"/>
                  </w:tcBorders>
                  <w:shd w:val="clear" w:color="auto" w:fill="auto"/>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pH、COD</w:t>
                  </w:r>
                  <w:r>
                    <w:rPr>
                      <w:rFonts w:hint="default" w:ascii="Times New Roman" w:hAnsi="Times New Roman" w:eastAsia="宋体" w:cs="Times New Roman"/>
                      <w:color w:val="auto"/>
                      <w:sz w:val="21"/>
                      <w:szCs w:val="21"/>
                      <w:vertAlign w:val="subscript"/>
                      <w:lang w:val="en-US" w:eastAsia="zh-CN"/>
                    </w:rPr>
                    <w:t>Cr</w:t>
                  </w: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r>
                    <w:rPr>
                      <w:rFonts w:hint="default" w:ascii="Times New Roman" w:hAnsi="Times New Roman" w:eastAsia="宋体" w:cs="Times New Roman"/>
                      <w:color w:val="auto"/>
                      <w:sz w:val="21"/>
                      <w:szCs w:val="21"/>
                      <w:lang w:val="en-US" w:eastAsia="zh-CN"/>
                    </w:rPr>
                    <w:t>、氨氮、SS</w:t>
                  </w:r>
                </w:p>
              </w:tc>
              <w:tc>
                <w:tcPr>
                  <w:tcW w:w="1237" w:type="pct"/>
                  <w:tcBorders>
                    <w:tl2br w:val="nil"/>
                    <w:tr2bl w:val="nil"/>
                  </w:tcBorders>
                  <w:shd w:val="clear" w:color="auto" w:fill="auto"/>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排入厂区污水处理站进行处理</w:t>
                  </w:r>
                </w:p>
              </w:tc>
              <w:tc>
                <w:tcPr>
                  <w:tcW w:w="856" w:type="pct"/>
                  <w:tcBorders>
                    <w:tl2br w:val="nil"/>
                    <w:tr2bl w:val="nil"/>
                  </w:tcBorders>
                  <w:shd w:val="clear" w:color="auto" w:fill="auto"/>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排入厂区污水处理站</w:t>
                  </w:r>
                </w:p>
              </w:tc>
              <w:tc>
                <w:tcPr>
                  <w:tcW w:w="714" w:type="pct"/>
                  <w:tcBorders>
                    <w:tl2br w:val="nil"/>
                    <w:tr2bl w:val="nil"/>
                  </w:tcBorders>
                  <w:shd w:val="clear" w:color="auto" w:fill="auto"/>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连续、间接排放</w:t>
                  </w:r>
                </w:p>
              </w:tc>
              <w:tc>
                <w:tcPr>
                  <w:tcW w:w="672" w:type="pct"/>
                  <w:tcBorders>
                    <w:tl2br w:val="nil"/>
                    <w:tr2bl w:val="nil"/>
                  </w:tcBorders>
                  <w:shd w:val="clear" w:color="auto" w:fill="auto"/>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是</w:t>
                  </w:r>
                </w:p>
              </w:tc>
            </w:tr>
          </w:tbl>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二、废气</w:t>
            </w:r>
          </w:p>
          <w:p>
            <w:pPr>
              <w:pStyle w:val="2"/>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本项目废水来源、防治措施、排放情况见下表：</w:t>
            </w:r>
          </w:p>
          <w:p>
            <w:pPr>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表8     项目废气产生来源、防治措施、排放方式一览表</w:t>
            </w:r>
          </w:p>
          <w:tbl>
            <w:tblPr>
              <w:tblStyle w:val="18"/>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67"/>
              <w:gridCol w:w="1637"/>
              <w:gridCol w:w="1080"/>
              <w:gridCol w:w="1755"/>
              <w:gridCol w:w="1335"/>
              <w:gridCol w:w="17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8" w:type="pct"/>
                  <w:tcBorders>
                    <w:tl2br w:val="nil"/>
                    <w:tr2bl w:val="nil"/>
                  </w:tcBorders>
                  <w:shd w:val="clear" w:color="auto" w:fill="BEBEBE" w:themeFill="background1" w:themeFillShade="BF"/>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类别</w:t>
                  </w:r>
                </w:p>
              </w:tc>
              <w:tc>
                <w:tcPr>
                  <w:tcW w:w="928" w:type="pct"/>
                  <w:tcBorders>
                    <w:tl2br w:val="nil"/>
                    <w:tr2bl w:val="nil"/>
                  </w:tcBorders>
                  <w:shd w:val="clear" w:color="auto" w:fill="BEBEBE" w:themeFill="background1" w:themeFillShade="BF"/>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来源</w:t>
                  </w:r>
                </w:p>
              </w:tc>
              <w:tc>
                <w:tcPr>
                  <w:tcW w:w="612" w:type="pct"/>
                  <w:tcBorders>
                    <w:tl2br w:val="nil"/>
                    <w:tr2bl w:val="nil"/>
                  </w:tcBorders>
                  <w:shd w:val="clear" w:color="auto" w:fill="BEBEBE" w:themeFill="background1" w:themeFillShade="BF"/>
                  <w:noWrap w:val="0"/>
                  <w:vAlign w:val="center"/>
                </w:tcPr>
                <w:p>
                  <w:pPr>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主要污染因子</w:t>
                  </w:r>
                </w:p>
              </w:tc>
              <w:tc>
                <w:tcPr>
                  <w:tcW w:w="995" w:type="pct"/>
                  <w:tcBorders>
                    <w:tl2br w:val="nil"/>
                    <w:tr2bl w:val="nil"/>
                  </w:tcBorders>
                  <w:shd w:val="clear" w:color="auto" w:fill="BEBEBE" w:themeFill="background1" w:themeFillShade="BF"/>
                  <w:noWrap w:val="0"/>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污染防治措施</w:t>
                  </w:r>
                </w:p>
              </w:tc>
              <w:tc>
                <w:tcPr>
                  <w:tcW w:w="757" w:type="pct"/>
                  <w:tcBorders>
                    <w:tl2br w:val="nil"/>
                    <w:tr2bl w:val="nil"/>
                  </w:tcBorders>
                  <w:shd w:val="clear" w:color="auto" w:fill="BEBEBE" w:themeFill="background1" w:themeFillShade="BF"/>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排放方式</w:t>
                  </w:r>
                </w:p>
              </w:tc>
              <w:tc>
                <w:tcPr>
                  <w:tcW w:w="987" w:type="pct"/>
                  <w:tcBorders>
                    <w:tl2br w:val="nil"/>
                    <w:tr2bl w:val="nil"/>
                  </w:tcBorders>
                  <w:shd w:val="clear" w:color="auto" w:fill="BEBEBE" w:themeFill="background1" w:themeFillShade="BF"/>
                  <w:noWrap w:val="0"/>
                  <w:vAlign w:val="center"/>
                </w:tcPr>
                <w:p>
                  <w:pPr>
                    <w:jc w:val="center"/>
                    <w:rPr>
                      <w:rFonts w:hint="default"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是否与环评一致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718" w:type="pct"/>
                  <w:tcBorders>
                    <w:tl2br w:val="nil"/>
                    <w:tr2bl w:val="nil"/>
                  </w:tcBorders>
                  <w:shd w:val="clear" w:color="auto" w:fill="auto"/>
                  <w:noWrap w:val="0"/>
                  <w:vAlign w:val="center"/>
                </w:tcPr>
                <w:p>
                  <w:pPr>
                    <w:pStyle w:val="42"/>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工艺废气</w:t>
                  </w:r>
                </w:p>
              </w:tc>
              <w:tc>
                <w:tcPr>
                  <w:tcW w:w="928" w:type="pct"/>
                  <w:tcBorders>
                    <w:tl2br w:val="nil"/>
                    <w:tr2bl w:val="nil"/>
                  </w:tcBorders>
                  <w:shd w:val="clear" w:color="auto" w:fill="auto"/>
                  <w:noWrap w:val="0"/>
                  <w:vAlign w:val="center"/>
                </w:tcPr>
                <w:p>
                  <w:pPr>
                    <w:pStyle w:val="42"/>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粉碎、过筛、混合工序产生的颗粒物</w:t>
                  </w:r>
                </w:p>
              </w:tc>
              <w:tc>
                <w:tcPr>
                  <w:tcW w:w="612" w:type="pct"/>
                  <w:tcBorders>
                    <w:tl2br w:val="nil"/>
                    <w:tr2bl w:val="nil"/>
                  </w:tcBorders>
                  <w:shd w:val="clear" w:color="auto" w:fill="auto"/>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995" w:type="pct"/>
                  <w:tcBorders>
                    <w:tl2br w:val="nil"/>
                    <w:tr2bl w:val="nil"/>
                  </w:tcBorders>
                  <w:shd w:val="clear" w:color="auto" w:fill="auto"/>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设备自带除尘器</w:t>
                  </w:r>
                  <w:r>
                    <w:rPr>
                      <w:rFonts w:hint="default" w:ascii="Times New Roman" w:hAnsi="Times New Roman" w:eastAsia="宋体" w:cs="Times New Roman"/>
                      <w:color w:val="auto"/>
                      <w:sz w:val="21"/>
                      <w:szCs w:val="21"/>
                      <w:lang w:val="en-US" w:eastAsia="zh-CN"/>
                    </w:rPr>
                    <w:t>+单独室内除尘器（布袋）</w:t>
                  </w:r>
                </w:p>
              </w:tc>
              <w:tc>
                <w:tcPr>
                  <w:tcW w:w="757" w:type="pct"/>
                  <w:tcBorders>
                    <w:tl2br w:val="nil"/>
                    <w:tr2bl w:val="nil"/>
                  </w:tcBorders>
                  <w:shd w:val="clear" w:color="auto" w:fill="auto"/>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通过20m排气筒连续排放</w:t>
                  </w:r>
                </w:p>
              </w:tc>
              <w:tc>
                <w:tcPr>
                  <w:tcW w:w="987" w:type="pct"/>
                  <w:tcBorders>
                    <w:tl2br w:val="nil"/>
                    <w:tr2bl w:val="nil"/>
                  </w:tcBorders>
                  <w:shd w:val="clear" w:color="auto" w:fill="auto"/>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718" w:type="pct"/>
                  <w:tcBorders>
                    <w:tl2br w:val="nil"/>
                    <w:tr2bl w:val="nil"/>
                  </w:tcBorders>
                  <w:shd w:val="clear" w:color="auto" w:fill="auto"/>
                  <w:noWrap w:val="0"/>
                  <w:vAlign w:val="center"/>
                </w:tcPr>
                <w:p>
                  <w:pPr>
                    <w:pStyle w:val="42"/>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锅炉废气</w:t>
                  </w:r>
                </w:p>
              </w:tc>
              <w:tc>
                <w:tcPr>
                  <w:tcW w:w="928" w:type="pct"/>
                  <w:tcBorders>
                    <w:tl2br w:val="nil"/>
                    <w:tr2bl w:val="nil"/>
                  </w:tcBorders>
                  <w:shd w:val="clear" w:color="auto" w:fill="auto"/>
                  <w:noWrap w:val="0"/>
                  <w:vAlign w:val="center"/>
                </w:tcPr>
                <w:p>
                  <w:pPr>
                    <w:pStyle w:val="42"/>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锅炉产能过程中新增废气</w:t>
                  </w:r>
                </w:p>
              </w:tc>
              <w:tc>
                <w:tcPr>
                  <w:tcW w:w="612" w:type="pct"/>
                  <w:tcBorders>
                    <w:tl2br w:val="nil"/>
                    <w:tr2bl w:val="nil"/>
                  </w:tcBorders>
                  <w:shd w:val="clear" w:color="auto" w:fill="auto"/>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颗粒物、SO</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、NOx</w:t>
                  </w:r>
                </w:p>
              </w:tc>
              <w:tc>
                <w:tcPr>
                  <w:tcW w:w="995" w:type="pct"/>
                  <w:tcBorders>
                    <w:tl2br w:val="nil"/>
                    <w:tr2bl w:val="nil"/>
                  </w:tcBorders>
                  <w:shd w:val="clear" w:color="auto" w:fill="auto"/>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多管旋风除尘+布袋除尘</w:t>
                  </w:r>
                </w:p>
              </w:tc>
              <w:tc>
                <w:tcPr>
                  <w:tcW w:w="757" w:type="pct"/>
                  <w:tcBorders>
                    <w:tl2br w:val="nil"/>
                    <w:tr2bl w:val="nil"/>
                  </w:tcBorders>
                  <w:shd w:val="clear" w:color="auto" w:fill="auto"/>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通过45m排气筒连续排放</w:t>
                  </w:r>
                </w:p>
              </w:tc>
              <w:tc>
                <w:tcPr>
                  <w:tcW w:w="987" w:type="pct"/>
                  <w:tcBorders>
                    <w:tl2br w:val="nil"/>
                    <w:tr2bl w:val="nil"/>
                  </w:tcBorders>
                  <w:shd w:val="clear" w:color="auto" w:fill="auto"/>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718" w:type="pct"/>
                  <w:tcBorders>
                    <w:tl2br w:val="nil"/>
                    <w:tr2bl w:val="nil"/>
                  </w:tcBorders>
                  <w:shd w:val="clear" w:color="auto" w:fill="auto"/>
                  <w:noWrap w:val="0"/>
                  <w:vAlign w:val="center"/>
                </w:tcPr>
                <w:p>
                  <w:pPr>
                    <w:pStyle w:val="42"/>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乙醇</w:t>
                  </w:r>
                </w:p>
              </w:tc>
              <w:tc>
                <w:tcPr>
                  <w:tcW w:w="928" w:type="pct"/>
                  <w:tcBorders>
                    <w:tl2br w:val="nil"/>
                    <w:tr2bl w:val="nil"/>
                  </w:tcBorders>
                  <w:shd w:val="clear" w:color="auto" w:fill="auto"/>
                  <w:noWrap w:val="0"/>
                  <w:vAlign w:val="center"/>
                </w:tcPr>
                <w:p>
                  <w:pPr>
                    <w:pStyle w:val="42"/>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生产过程中使用乙醇挥发的乙醇</w:t>
                  </w:r>
                </w:p>
              </w:tc>
              <w:tc>
                <w:tcPr>
                  <w:tcW w:w="612" w:type="pct"/>
                  <w:tcBorders>
                    <w:tl2br w:val="nil"/>
                    <w:tr2bl w:val="nil"/>
                  </w:tcBorders>
                  <w:shd w:val="clear" w:color="auto" w:fill="auto"/>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乙醇</w:t>
                  </w:r>
                </w:p>
              </w:tc>
              <w:tc>
                <w:tcPr>
                  <w:tcW w:w="995" w:type="pct"/>
                  <w:tcBorders>
                    <w:tl2br w:val="nil"/>
                    <w:tr2bl w:val="nil"/>
                  </w:tcBorders>
                  <w:shd w:val="clear" w:color="auto" w:fill="auto"/>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757" w:type="pct"/>
                  <w:tcBorders>
                    <w:tl2br w:val="nil"/>
                    <w:tr2bl w:val="nil"/>
                  </w:tcBorders>
                  <w:shd w:val="clear" w:color="auto" w:fill="auto"/>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无组织排放</w:t>
                  </w:r>
                </w:p>
              </w:tc>
              <w:tc>
                <w:tcPr>
                  <w:tcW w:w="987" w:type="pct"/>
                  <w:tcBorders>
                    <w:tl2br w:val="nil"/>
                    <w:tr2bl w:val="nil"/>
                  </w:tcBorders>
                  <w:shd w:val="clear" w:color="auto" w:fill="auto"/>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原环评乙醇废气通过风机收集及专用排气筒于屋顶高空排放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718" w:type="pct"/>
                  <w:tcBorders>
                    <w:tl2br w:val="nil"/>
                    <w:tr2bl w:val="nil"/>
                  </w:tcBorders>
                  <w:shd w:val="clear" w:color="auto" w:fill="auto"/>
                  <w:noWrap w:val="0"/>
                  <w:vAlign w:val="center"/>
                </w:tcPr>
                <w:p>
                  <w:pPr>
                    <w:pStyle w:val="42"/>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食堂油烟</w:t>
                  </w:r>
                </w:p>
              </w:tc>
              <w:tc>
                <w:tcPr>
                  <w:tcW w:w="928" w:type="pct"/>
                  <w:tcBorders>
                    <w:tl2br w:val="nil"/>
                    <w:tr2bl w:val="nil"/>
                  </w:tcBorders>
                  <w:shd w:val="clear" w:color="auto" w:fill="auto"/>
                  <w:noWrap w:val="0"/>
                  <w:vAlign w:val="center"/>
                </w:tcPr>
                <w:p>
                  <w:pPr>
                    <w:pStyle w:val="42"/>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员工食堂使用产生</w:t>
                  </w:r>
                </w:p>
              </w:tc>
              <w:tc>
                <w:tcPr>
                  <w:tcW w:w="612" w:type="pct"/>
                  <w:tcBorders>
                    <w:tl2br w:val="nil"/>
                    <w:tr2bl w:val="nil"/>
                  </w:tcBorders>
                  <w:shd w:val="clear" w:color="auto" w:fill="auto"/>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油烟</w:t>
                  </w:r>
                </w:p>
              </w:tc>
              <w:tc>
                <w:tcPr>
                  <w:tcW w:w="995" w:type="pct"/>
                  <w:tcBorders>
                    <w:tl2br w:val="nil"/>
                    <w:tr2bl w:val="nil"/>
                  </w:tcBorders>
                  <w:shd w:val="clear" w:color="auto" w:fill="auto"/>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油烟净化装置处理后</w:t>
                  </w:r>
                </w:p>
              </w:tc>
              <w:tc>
                <w:tcPr>
                  <w:tcW w:w="757" w:type="pct"/>
                  <w:tcBorders>
                    <w:tl2br w:val="nil"/>
                    <w:tr2bl w:val="nil"/>
                  </w:tcBorders>
                  <w:shd w:val="clear" w:color="auto" w:fill="auto"/>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屋顶管道排放</w:t>
                  </w:r>
                </w:p>
              </w:tc>
              <w:tc>
                <w:tcPr>
                  <w:tcW w:w="987" w:type="pct"/>
                  <w:tcBorders>
                    <w:tl2br w:val="nil"/>
                    <w:tr2bl w:val="nil"/>
                  </w:tcBorders>
                  <w:shd w:val="clear" w:color="auto" w:fill="auto"/>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r>
          </w:tbl>
          <w:p>
            <w:pPr>
              <w:autoSpaceDE/>
              <w:autoSpaceDN/>
              <w:spacing w:line="360" w:lineRule="auto"/>
              <w:ind w:firstLine="482"/>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三、噪声</w:t>
            </w:r>
          </w:p>
          <w:p>
            <w:pPr>
              <w:autoSpaceDE/>
              <w:autoSpaceDN/>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经验收期间现场核查，项目实际生产过程中</w:t>
            </w:r>
            <w:r>
              <w:rPr>
                <w:rFonts w:hint="default" w:ascii="Times New Roman" w:hAnsi="Times New Roman" w:eastAsia="宋体" w:cs="Times New Roman"/>
                <w:color w:val="auto"/>
                <w:sz w:val="24"/>
                <w:szCs w:val="24"/>
                <w:lang w:val="en-US" w:eastAsia="zh-CN"/>
              </w:rPr>
              <w:t>工程运营期间主要噪声源为</w:t>
            </w:r>
            <w:r>
              <w:rPr>
                <w:rFonts w:hint="default" w:ascii="Times New Roman" w:hAnsi="Times New Roman" w:eastAsia="宋体" w:cs="Times New Roman"/>
                <w:color w:val="auto"/>
                <w:sz w:val="24"/>
                <w:szCs w:val="24"/>
                <w:lang w:eastAsia="zh-CN"/>
              </w:rPr>
              <w:t>风机、清洗机、包装机、灌装机、轧盖机等生产设备</w:t>
            </w:r>
            <w:r>
              <w:rPr>
                <w:rFonts w:hint="default" w:ascii="Times New Roman" w:hAnsi="Times New Roman" w:eastAsia="宋体" w:cs="Times New Roman"/>
                <w:color w:val="auto"/>
                <w:sz w:val="24"/>
                <w:szCs w:val="24"/>
                <w:lang w:val="en-US" w:eastAsia="zh-CN"/>
              </w:rPr>
              <w:t>机械动力噪声。</w:t>
            </w:r>
            <w:r>
              <w:rPr>
                <w:rFonts w:hint="default" w:ascii="Times New Roman" w:hAnsi="Times New Roman" w:eastAsia="宋体" w:cs="Times New Roman"/>
                <w:color w:val="auto"/>
                <w:sz w:val="24"/>
                <w:szCs w:val="24"/>
              </w:rPr>
              <w:t>具体情况见表</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w:t>
            </w:r>
          </w:p>
          <w:p>
            <w:pPr>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表9    噪声源源强一览表    单位：dB（A）</w:t>
            </w:r>
          </w:p>
          <w:tbl>
            <w:tblPr>
              <w:tblStyle w:val="1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30"/>
              <w:gridCol w:w="1669"/>
              <w:gridCol w:w="1282"/>
              <w:gridCol w:w="1568"/>
              <w:gridCol w:w="1400"/>
              <w:gridCol w:w="18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84" w:type="pct"/>
                  <w:tcBorders>
                    <w:tl2br w:val="nil"/>
                    <w:tr2bl w:val="nil"/>
                  </w:tcBorders>
                  <w:shd w:val="clear" w:color="auto" w:fill="D7D7D7" w:themeFill="background1" w:themeFillShade="D8"/>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序号</w:t>
                  </w:r>
                </w:p>
              </w:tc>
              <w:tc>
                <w:tcPr>
                  <w:tcW w:w="946" w:type="pct"/>
                  <w:tcBorders>
                    <w:tl2br w:val="nil"/>
                    <w:tr2bl w:val="nil"/>
                  </w:tcBorders>
                  <w:shd w:val="clear" w:color="auto" w:fill="D7D7D7" w:themeFill="background1" w:themeFillShade="D8"/>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名称</w:t>
                  </w:r>
                </w:p>
              </w:tc>
              <w:tc>
                <w:tcPr>
                  <w:tcW w:w="727" w:type="pct"/>
                  <w:tcBorders>
                    <w:tl2br w:val="nil"/>
                    <w:tr2bl w:val="nil"/>
                  </w:tcBorders>
                  <w:shd w:val="clear" w:color="auto" w:fill="D7D7D7" w:themeFill="background1" w:themeFillShade="D8"/>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噪声源强</w:t>
                  </w:r>
                </w:p>
              </w:tc>
              <w:tc>
                <w:tcPr>
                  <w:tcW w:w="889" w:type="pct"/>
                  <w:tcBorders>
                    <w:tl2br w:val="nil"/>
                    <w:tr2bl w:val="nil"/>
                  </w:tcBorders>
                  <w:shd w:val="clear" w:color="auto" w:fill="D7D7D7" w:themeFill="background1" w:themeFillShade="D8"/>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位置</w:t>
                  </w:r>
                </w:p>
              </w:tc>
              <w:tc>
                <w:tcPr>
                  <w:tcW w:w="794" w:type="pct"/>
                  <w:tcBorders>
                    <w:tl2br w:val="nil"/>
                    <w:tr2bl w:val="nil"/>
                  </w:tcBorders>
                  <w:shd w:val="clear" w:color="auto" w:fill="D7D7D7" w:themeFill="background1" w:themeFillShade="D8"/>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降噪措施</w:t>
                  </w:r>
                </w:p>
              </w:tc>
              <w:tc>
                <w:tcPr>
                  <w:tcW w:w="1058" w:type="pct"/>
                  <w:tcBorders>
                    <w:tl2br w:val="nil"/>
                    <w:tr2bl w:val="nil"/>
                  </w:tcBorders>
                  <w:shd w:val="clear" w:color="auto" w:fill="D7D7D7" w:themeFill="background1" w:themeFillShade="D8"/>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lang w:eastAsia="zh-CN"/>
                    </w:rPr>
                  </w:pPr>
                  <w:r>
                    <w:rPr>
                      <w:rFonts w:hint="eastAsia" w:eastAsia="宋体" w:cs="Times New Roman"/>
                      <w:b/>
                      <w:bCs/>
                      <w:color w:val="auto"/>
                      <w:sz w:val="21"/>
                      <w:szCs w:val="21"/>
                      <w:lang w:eastAsia="zh-CN"/>
                    </w:rPr>
                    <w:t>是否与环评一致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584" w:type="pc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w:t>
                  </w:r>
                </w:p>
              </w:tc>
              <w:tc>
                <w:tcPr>
                  <w:tcW w:w="946" w:type="pc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风机</w:t>
                  </w:r>
                </w:p>
              </w:tc>
              <w:tc>
                <w:tcPr>
                  <w:tcW w:w="727" w:type="pct"/>
                  <w:vMerge w:val="restar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70-90dB</w:t>
                  </w:r>
                </w:p>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p>
              </w:tc>
              <w:tc>
                <w:tcPr>
                  <w:tcW w:w="889" w:type="pct"/>
                  <w:vMerge w:val="restar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生产车间内部</w:t>
                  </w:r>
                </w:p>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794" w:type="pct"/>
                  <w:vMerge w:val="restar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优先选用振动小、噪声低的设备、减震、隔声措施</w:t>
                  </w:r>
                </w:p>
              </w:tc>
              <w:tc>
                <w:tcPr>
                  <w:tcW w:w="1058" w:type="pct"/>
                  <w:vMerge w:val="restar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eastAsia" w:eastAsia="宋体" w:cs="Times New Roman"/>
                      <w:color w:val="auto"/>
                      <w:sz w:val="21"/>
                      <w:szCs w:val="21"/>
                      <w:lang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584" w:type="pc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w:t>
                  </w:r>
                </w:p>
              </w:tc>
              <w:tc>
                <w:tcPr>
                  <w:tcW w:w="946" w:type="pc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脱硫塔</w:t>
                  </w:r>
                </w:p>
              </w:tc>
              <w:tc>
                <w:tcPr>
                  <w:tcW w:w="727" w:type="pct"/>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889" w:type="pct"/>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794" w:type="pct"/>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058" w:type="pct"/>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584" w:type="pc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946" w:type="pc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清洗机</w:t>
                  </w:r>
                </w:p>
              </w:tc>
              <w:tc>
                <w:tcPr>
                  <w:tcW w:w="727" w:type="pct"/>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889" w:type="pct"/>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794" w:type="pct"/>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058" w:type="pct"/>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584" w:type="pc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946" w:type="pc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包装机</w:t>
                  </w:r>
                </w:p>
              </w:tc>
              <w:tc>
                <w:tcPr>
                  <w:tcW w:w="727" w:type="pct"/>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p>
              </w:tc>
              <w:tc>
                <w:tcPr>
                  <w:tcW w:w="889" w:type="pct"/>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794" w:type="pct"/>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058" w:type="pct"/>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584" w:type="pc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946" w:type="pc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灌装机</w:t>
                  </w:r>
                </w:p>
              </w:tc>
              <w:tc>
                <w:tcPr>
                  <w:tcW w:w="727" w:type="pct"/>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p>
              </w:tc>
              <w:tc>
                <w:tcPr>
                  <w:tcW w:w="889" w:type="pct"/>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794" w:type="pct"/>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058" w:type="pct"/>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584" w:type="pc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946" w:type="pc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轧盖机</w:t>
                  </w:r>
                </w:p>
              </w:tc>
              <w:tc>
                <w:tcPr>
                  <w:tcW w:w="727" w:type="pct"/>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p>
              </w:tc>
              <w:tc>
                <w:tcPr>
                  <w:tcW w:w="889" w:type="pct"/>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794" w:type="pct"/>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058" w:type="pct"/>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r>
          </w:tbl>
          <w:p>
            <w:pPr>
              <w:keepNext w:val="0"/>
              <w:keepLines w:val="0"/>
              <w:pageBreakBefore w:val="0"/>
              <w:widowControl w:val="0"/>
              <w:kinsoku/>
              <w:wordWrap/>
              <w:overflowPunct/>
              <w:topLinePunct w:val="0"/>
              <w:autoSpaceDE/>
              <w:autoSpaceDN/>
              <w:bidi w:val="0"/>
              <w:spacing w:line="360" w:lineRule="auto"/>
              <w:ind w:firstLine="482"/>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四、固废</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本项目固废来源、防治措施、排放情况见下表：</w:t>
            </w:r>
          </w:p>
          <w:p>
            <w:pPr>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表10    项目固废主要污染物产生、防治措施、排放方式一览表</w:t>
            </w:r>
          </w:p>
          <w:tbl>
            <w:tblPr>
              <w:tblStyle w:val="19"/>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1415"/>
              <w:gridCol w:w="1544"/>
              <w:gridCol w:w="2480"/>
              <w:gridCol w:w="27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9" w:type="pct"/>
                  <w:tcBorders>
                    <w:tl2br w:val="nil"/>
                    <w:tr2bl w:val="nil"/>
                  </w:tcBorders>
                  <w:shd w:val="clear" w:color="auto" w:fill="D7D7D7" w:themeFill="background1" w:themeFillShade="D8"/>
                  <w:vAlign w:val="center"/>
                </w:tcPr>
                <w:p>
                  <w:pPr>
                    <w:pStyle w:val="2"/>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类别</w:t>
                  </w:r>
                </w:p>
              </w:tc>
              <w:tc>
                <w:tcPr>
                  <w:tcW w:w="802" w:type="pct"/>
                  <w:tcBorders>
                    <w:tl2br w:val="nil"/>
                    <w:tr2bl w:val="nil"/>
                  </w:tcBorders>
                  <w:shd w:val="clear" w:color="auto" w:fill="D7D7D7" w:themeFill="background1" w:themeFillShade="D8"/>
                  <w:vAlign w:val="center"/>
                </w:tcPr>
                <w:p>
                  <w:pPr>
                    <w:pStyle w:val="2"/>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污染源</w:t>
                  </w:r>
                </w:p>
              </w:tc>
              <w:tc>
                <w:tcPr>
                  <w:tcW w:w="875" w:type="pct"/>
                  <w:tcBorders>
                    <w:tl2br w:val="nil"/>
                    <w:tr2bl w:val="nil"/>
                  </w:tcBorders>
                  <w:shd w:val="clear" w:color="auto" w:fill="D7D7D7" w:themeFill="background1" w:themeFillShade="D8"/>
                  <w:vAlign w:val="center"/>
                </w:tcPr>
                <w:p>
                  <w:pPr>
                    <w:pStyle w:val="2"/>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性质</w:t>
                  </w:r>
                </w:p>
              </w:tc>
              <w:tc>
                <w:tcPr>
                  <w:tcW w:w="1406" w:type="pct"/>
                  <w:tcBorders>
                    <w:tl2br w:val="nil"/>
                    <w:tr2bl w:val="nil"/>
                  </w:tcBorders>
                  <w:shd w:val="clear" w:color="auto" w:fill="D7D7D7" w:themeFill="background1" w:themeFillShade="D8"/>
                  <w:vAlign w:val="center"/>
                </w:tcPr>
                <w:p>
                  <w:pPr>
                    <w:pStyle w:val="2"/>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环评要求排放方式</w:t>
                  </w:r>
                </w:p>
              </w:tc>
              <w:tc>
                <w:tcPr>
                  <w:tcW w:w="1535" w:type="pct"/>
                  <w:tcBorders>
                    <w:tl2br w:val="nil"/>
                    <w:tr2bl w:val="nil"/>
                  </w:tcBorders>
                  <w:shd w:val="clear" w:color="auto" w:fill="D7D7D7" w:themeFill="background1" w:themeFillShade="D8"/>
                  <w:vAlign w:val="center"/>
                </w:tcPr>
                <w:p>
                  <w:pPr>
                    <w:pStyle w:val="2"/>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实际排放方式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9" w:type="pct"/>
                  <w:vMerge w:val="restart"/>
                  <w:tcBorders>
                    <w:tl2br w:val="nil"/>
                    <w:tr2bl w:val="nil"/>
                  </w:tcBorders>
                  <w:vAlign w:val="center"/>
                </w:tcPr>
                <w:p>
                  <w:pPr>
                    <w:pStyle w:val="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固废</w:t>
                  </w:r>
                </w:p>
              </w:tc>
              <w:tc>
                <w:tcPr>
                  <w:tcW w:w="802" w:type="pct"/>
                  <w:tcBorders>
                    <w:tl2br w:val="nil"/>
                    <w:tr2bl w:val="nil"/>
                  </w:tcBorders>
                  <w:vAlign w:val="center"/>
                </w:tcPr>
                <w:p>
                  <w:pPr>
                    <w:pStyle w:val="2"/>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废包装材料</w:t>
                  </w:r>
                </w:p>
              </w:tc>
              <w:tc>
                <w:tcPr>
                  <w:tcW w:w="875"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一般工业固废</w:t>
                  </w:r>
                </w:p>
              </w:tc>
              <w:tc>
                <w:tcPr>
                  <w:tcW w:w="1406"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由专业公司回收</w:t>
                  </w:r>
                </w:p>
              </w:tc>
              <w:tc>
                <w:tcPr>
                  <w:tcW w:w="1535"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由专业公司回收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9" w:type="pct"/>
                  <w:vMerge w:val="continue"/>
                  <w:tcBorders>
                    <w:tl2br w:val="nil"/>
                    <w:tr2bl w:val="nil"/>
                  </w:tcBorders>
                  <w:vAlign w:val="center"/>
                </w:tcPr>
                <w:p>
                  <w:pPr>
                    <w:pStyle w:val="2"/>
                    <w:jc w:val="center"/>
                    <w:rPr>
                      <w:rFonts w:hint="default" w:ascii="Times New Roman" w:hAnsi="Times New Roman" w:eastAsia="宋体" w:cs="Times New Roman"/>
                      <w:color w:val="auto"/>
                      <w:sz w:val="21"/>
                      <w:szCs w:val="21"/>
                      <w:lang w:val="en-US" w:eastAsia="zh-CN"/>
                    </w:rPr>
                  </w:pPr>
                </w:p>
              </w:tc>
              <w:tc>
                <w:tcPr>
                  <w:tcW w:w="802" w:type="pct"/>
                  <w:tcBorders>
                    <w:tl2br w:val="nil"/>
                    <w:tr2bl w:val="nil"/>
                  </w:tcBorders>
                  <w:vAlign w:val="center"/>
                </w:tcPr>
                <w:p>
                  <w:pPr>
                    <w:pStyle w:val="2"/>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炉渣</w:t>
                  </w:r>
                </w:p>
              </w:tc>
              <w:tc>
                <w:tcPr>
                  <w:tcW w:w="875" w:type="pct"/>
                  <w:tcBorders>
                    <w:tl2br w:val="nil"/>
                    <w:tr2bl w:val="nil"/>
                  </w:tcBorders>
                  <w:vAlign w:val="center"/>
                </w:tcPr>
                <w:p>
                  <w:pPr>
                    <w:pStyle w:val="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一般工业固废</w:t>
                  </w:r>
                </w:p>
              </w:tc>
              <w:tc>
                <w:tcPr>
                  <w:tcW w:w="1406" w:type="pct"/>
                  <w:tcBorders>
                    <w:tl2br w:val="nil"/>
                    <w:tr2bl w:val="nil"/>
                  </w:tcBorders>
                  <w:vAlign w:val="center"/>
                </w:tcPr>
                <w:p>
                  <w:pPr>
                    <w:pStyle w:val="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送砖厂综合利用</w:t>
                  </w:r>
                </w:p>
              </w:tc>
              <w:tc>
                <w:tcPr>
                  <w:tcW w:w="1535" w:type="pct"/>
                  <w:tcBorders>
                    <w:tl2br w:val="nil"/>
                    <w:tr2bl w:val="nil"/>
                  </w:tcBorders>
                  <w:vAlign w:val="center"/>
                </w:tcPr>
                <w:p>
                  <w:pPr>
                    <w:pStyle w:val="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送砖厂综合利用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9" w:type="pct"/>
                  <w:vMerge w:val="continue"/>
                  <w:tcBorders>
                    <w:tl2br w:val="nil"/>
                    <w:tr2bl w:val="nil"/>
                  </w:tcBorders>
                  <w:vAlign w:val="center"/>
                </w:tcPr>
                <w:p>
                  <w:pPr>
                    <w:pStyle w:val="2"/>
                    <w:jc w:val="center"/>
                    <w:rPr>
                      <w:rFonts w:hint="default" w:ascii="Times New Roman" w:hAnsi="Times New Roman" w:eastAsia="宋体" w:cs="Times New Roman"/>
                      <w:color w:val="auto"/>
                      <w:sz w:val="21"/>
                      <w:szCs w:val="21"/>
                      <w:lang w:val="en-US" w:eastAsia="zh-CN"/>
                    </w:rPr>
                  </w:pPr>
                </w:p>
              </w:tc>
              <w:tc>
                <w:tcPr>
                  <w:tcW w:w="802" w:type="pct"/>
                  <w:tcBorders>
                    <w:tl2br w:val="nil"/>
                    <w:tr2bl w:val="nil"/>
                  </w:tcBorders>
                  <w:vAlign w:val="center"/>
                </w:tcPr>
                <w:p>
                  <w:pPr>
                    <w:pStyle w:val="2"/>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废活性炭</w:t>
                  </w:r>
                </w:p>
              </w:tc>
              <w:tc>
                <w:tcPr>
                  <w:tcW w:w="875" w:type="pct"/>
                  <w:tcBorders>
                    <w:tl2br w:val="nil"/>
                    <w:tr2bl w:val="nil"/>
                  </w:tcBorders>
                  <w:vAlign w:val="center"/>
                </w:tcPr>
                <w:p>
                  <w:pPr>
                    <w:pStyle w:val="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危险废物</w:t>
                  </w:r>
                </w:p>
              </w:tc>
              <w:tc>
                <w:tcPr>
                  <w:tcW w:w="1406" w:type="pct"/>
                  <w:tcBorders>
                    <w:tl2br w:val="nil"/>
                    <w:tr2bl w:val="nil"/>
                  </w:tcBorders>
                  <w:vAlign w:val="center"/>
                </w:tcPr>
                <w:p>
                  <w:pPr>
                    <w:pStyle w:val="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委托湖南衡兴环保科技开发有限公司处理</w:t>
                  </w:r>
                </w:p>
              </w:tc>
              <w:tc>
                <w:tcPr>
                  <w:tcW w:w="1535" w:type="pct"/>
                  <w:tcBorders>
                    <w:tl2br w:val="nil"/>
                    <w:tr2bl w:val="nil"/>
                  </w:tcBorders>
                  <w:vAlign w:val="center"/>
                </w:tcPr>
                <w:p>
                  <w:pPr>
                    <w:pStyle w:val="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委托湖南瀚洋环保科技有限公司处理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9" w:type="pct"/>
                  <w:vMerge w:val="continue"/>
                  <w:tcBorders>
                    <w:tl2br w:val="nil"/>
                    <w:tr2bl w:val="nil"/>
                  </w:tcBorders>
                  <w:vAlign w:val="center"/>
                </w:tcPr>
                <w:p>
                  <w:pPr>
                    <w:pStyle w:val="2"/>
                    <w:jc w:val="center"/>
                    <w:rPr>
                      <w:rFonts w:hint="default" w:ascii="Times New Roman" w:hAnsi="Times New Roman" w:eastAsia="宋体" w:cs="Times New Roman"/>
                      <w:color w:val="auto"/>
                      <w:sz w:val="21"/>
                      <w:szCs w:val="21"/>
                      <w:lang w:val="en-US" w:eastAsia="zh-CN"/>
                    </w:rPr>
                  </w:pPr>
                </w:p>
              </w:tc>
              <w:tc>
                <w:tcPr>
                  <w:tcW w:w="802" w:type="pct"/>
                  <w:tcBorders>
                    <w:tl2br w:val="nil"/>
                    <w:tr2bl w:val="nil"/>
                  </w:tcBorders>
                  <w:vAlign w:val="center"/>
                </w:tcPr>
                <w:p>
                  <w:pPr>
                    <w:pStyle w:val="2"/>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医药废物</w:t>
                  </w:r>
                </w:p>
              </w:tc>
              <w:tc>
                <w:tcPr>
                  <w:tcW w:w="875" w:type="pct"/>
                  <w:tcBorders>
                    <w:tl2br w:val="nil"/>
                    <w:tr2bl w:val="nil"/>
                  </w:tcBorders>
                  <w:vAlign w:val="center"/>
                </w:tcPr>
                <w:p>
                  <w:pPr>
                    <w:pStyle w:val="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危险废物</w:t>
                  </w:r>
                </w:p>
              </w:tc>
              <w:tc>
                <w:tcPr>
                  <w:tcW w:w="1406" w:type="pct"/>
                  <w:tcBorders>
                    <w:tl2br w:val="nil"/>
                    <w:tr2bl w:val="nil"/>
                  </w:tcBorders>
                  <w:vAlign w:val="center"/>
                </w:tcPr>
                <w:p>
                  <w:pPr>
                    <w:pStyle w:val="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委托湖南衡兴环保科技开发有限公司处理</w:t>
                  </w:r>
                </w:p>
              </w:tc>
              <w:tc>
                <w:tcPr>
                  <w:tcW w:w="1535" w:type="pct"/>
                  <w:tcBorders>
                    <w:tl2br w:val="nil"/>
                    <w:tr2bl w:val="nil"/>
                  </w:tcBorders>
                  <w:vAlign w:val="center"/>
                </w:tcPr>
                <w:p>
                  <w:pPr>
                    <w:pStyle w:val="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委托湖南瀚洋环保科技有限公司处理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9" w:type="pct"/>
                  <w:vMerge w:val="continue"/>
                  <w:tcBorders>
                    <w:tl2br w:val="nil"/>
                    <w:tr2bl w:val="nil"/>
                  </w:tcBorders>
                  <w:vAlign w:val="center"/>
                </w:tcPr>
                <w:p>
                  <w:pPr>
                    <w:pStyle w:val="2"/>
                    <w:jc w:val="center"/>
                    <w:rPr>
                      <w:rFonts w:hint="default" w:ascii="Times New Roman" w:hAnsi="Times New Roman" w:eastAsia="宋体" w:cs="Times New Roman"/>
                      <w:color w:val="auto"/>
                      <w:sz w:val="21"/>
                      <w:szCs w:val="21"/>
                      <w:lang w:val="en-US" w:eastAsia="zh-CN"/>
                    </w:rPr>
                  </w:pPr>
                </w:p>
              </w:tc>
              <w:tc>
                <w:tcPr>
                  <w:tcW w:w="802" w:type="pct"/>
                  <w:tcBorders>
                    <w:tl2br w:val="nil"/>
                    <w:tr2bl w:val="nil"/>
                  </w:tcBorders>
                  <w:vAlign w:val="center"/>
                </w:tcPr>
                <w:p>
                  <w:pPr>
                    <w:pStyle w:val="2"/>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污水处理站污泥</w:t>
                  </w:r>
                </w:p>
              </w:tc>
              <w:tc>
                <w:tcPr>
                  <w:tcW w:w="875" w:type="pct"/>
                  <w:tcBorders>
                    <w:tl2br w:val="nil"/>
                    <w:tr2bl w:val="nil"/>
                  </w:tcBorders>
                  <w:vAlign w:val="center"/>
                </w:tcPr>
                <w:p>
                  <w:pPr>
                    <w:pStyle w:val="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一般工业固废</w:t>
                  </w:r>
                </w:p>
              </w:tc>
              <w:tc>
                <w:tcPr>
                  <w:tcW w:w="1406" w:type="pct"/>
                  <w:tcBorders>
                    <w:tl2br w:val="nil"/>
                    <w:tr2bl w:val="nil"/>
                  </w:tcBorders>
                  <w:vAlign w:val="center"/>
                </w:tcPr>
                <w:p>
                  <w:pPr>
                    <w:pStyle w:val="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送市垃圾填埋场</w:t>
                  </w:r>
                </w:p>
              </w:tc>
              <w:tc>
                <w:tcPr>
                  <w:tcW w:w="1535" w:type="pct"/>
                  <w:tcBorders>
                    <w:tl2br w:val="nil"/>
                    <w:tr2bl w:val="nil"/>
                  </w:tcBorders>
                  <w:vAlign w:val="center"/>
                </w:tcPr>
                <w:p>
                  <w:pPr>
                    <w:pStyle w:val="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送市垃圾填埋场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9" w:type="pct"/>
                  <w:vMerge w:val="continue"/>
                  <w:tcBorders>
                    <w:tl2br w:val="nil"/>
                    <w:tr2bl w:val="nil"/>
                  </w:tcBorders>
                  <w:vAlign w:val="center"/>
                </w:tcPr>
                <w:p>
                  <w:pPr>
                    <w:pStyle w:val="2"/>
                    <w:jc w:val="center"/>
                    <w:rPr>
                      <w:rFonts w:hint="default" w:ascii="Times New Roman" w:hAnsi="Times New Roman" w:eastAsia="宋体" w:cs="Times New Roman"/>
                      <w:color w:val="auto"/>
                      <w:sz w:val="21"/>
                      <w:szCs w:val="21"/>
                      <w:lang w:val="en-US" w:eastAsia="zh-CN"/>
                    </w:rPr>
                  </w:pPr>
                </w:p>
              </w:tc>
              <w:tc>
                <w:tcPr>
                  <w:tcW w:w="802" w:type="pct"/>
                  <w:tcBorders>
                    <w:tl2br w:val="nil"/>
                    <w:tr2bl w:val="nil"/>
                  </w:tcBorders>
                  <w:vAlign w:val="center"/>
                </w:tcPr>
                <w:p>
                  <w:pPr>
                    <w:pStyle w:val="2"/>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生活垃圾</w:t>
                  </w:r>
                </w:p>
              </w:tc>
              <w:tc>
                <w:tcPr>
                  <w:tcW w:w="875" w:type="pct"/>
                  <w:tcBorders>
                    <w:tl2br w:val="nil"/>
                    <w:tr2bl w:val="nil"/>
                  </w:tcBorders>
                  <w:vAlign w:val="center"/>
                </w:tcPr>
                <w:p>
                  <w:pPr>
                    <w:pStyle w:val="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生活垃圾</w:t>
                  </w:r>
                </w:p>
              </w:tc>
              <w:tc>
                <w:tcPr>
                  <w:tcW w:w="1406" w:type="pct"/>
                  <w:tcBorders>
                    <w:tl2br w:val="nil"/>
                    <w:tr2bl w:val="nil"/>
                  </w:tcBorders>
                  <w:vAlign w:val="center"/>
                </w:tcPr>
                <w:p>
                  <w:pPr>
                    <w:pStyle w:val="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送市垃圾填埋场</w:t>
                  </w:r>
                </w:p>
              </w:tc>
              <w:tc>
                <w:tcPr>
                  <w:tcW w:w="1535" w:type="pct"/>
                  <w:tcBorders>
                    <w:tl2br w:val="nil"/>
                    <w:tr2bl w:val="nil"/>
                  </w:tcBorders>
                  <w:vAlign w:val="center"/>
                </w:tcPr>
                <w:p>
                  <w:pPr>
                    <w:pStyle w:val="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送市垃圾填埋场</w:t>
                  </w:r>
                </w:p>
              </w:tc>
            </w:tr>
          </w:tbl>
          <w:p>
            <w:pPr>
              <w:autoSpaceDE/>
              <w:autoSpaceDN/>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主要环保设施现场照片如下：</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2"/>
              <w:gridCol w:w="4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6" w:type="dxa"/>
                </w:tcPr>
                <w:p>
                  <w:pPr>
                    <w:autoSpaceDE/>
                    <w:autoSpaceDN/>
                    <w:spacing w:line="360" w:lineRule="auto"/>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inline distT="0" distB="0" distL="114300" distR="114300">
                        <wp:extent cx="2633345" cy="2159000"/>
                        <wp:effectExtent l="0" t="0" r="14605" b="12700"/>
                        <wp:docPr id="1" name="图片 1" descr="f50bf92ae0455ec2d1bba6a0f95d0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50bf92ae0455ec2d1bba6a0f95d0a5"/>
                                <pic:cNvPicPr>
                                  <a:picLocks noChangeAspect="1"/>
                                </pic:cNvPicPr>
                              </pic:nvPicPr>
                              <pic:blipFill>
                                <a:blip r:embed="rId16"/>
                                <a:stretch>
                                  <a:fillRect/>
                                </a:stretch>
                              </pic:blipFill>
                              <pic:spPr>
                                <a:xfrm>
                                  <a:off x="0" y="0"/>
                                  <a:ext cx="2633345" cy="2159000"/>
                                </a:xfrm>
                                <a:prstGeom prst="rect">
                                  <a:avLst/>
                                </a:prstGeom>
                              </pic:spPr>
                            </pic:pic>
                          </a:graphicData>
                        </a:graphic>
                      </wp:inline>
                    </w:drawing>
                  </w:r>
                </w:p>
              </w:tc>
              <w:tc>
                <w:tcPr>
                  <w:tcW w:w="4356" w:type="dxa"/>
                </w:tcPr>
                <w:p>
                  <w:pPr>
                    <w:autoSpaceDE/>
                    <w:autoSpaceDN/>
                    <w:spacing w:line="360" w:lineRule="auto"/>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inline distT="0" distB="0" distL="114300" distR="114300">
                        <wp:extent cx="2620010" cy="2067560"/>
                        <wp:effectExtent l="0" t="0" r="8890" b="8890"/>
                        <wp:docPr id="14" name="图片 14" descr="c66bfbe48cb3394269e62546dbe58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66bfbe48cb3394269e62546dbe580f"/>
                                <pic:cNvPicPr>
                                  <a:picLocks noChangeAspect="1"/>
                                </pic:cNvPicPr>
                              </pic:nvPicPr>
                              <pic:blipFill>
                                <a:blip r:embed="rId17"/>
                                <a:stretch>
                                  <a:fillRect/>
                                </a:stretch>
                              </pic:blipFill>
                              <pic:spPr>
                                <a:xfrm>
                                  <a:off x="0" y="0"/>
                                  <a:ext cx="2620010" cy="20675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6" w:type="dxa"/>
                </w:tcPr>
                <w:p>
                  <w:pPr>
                    <w:autoSpaceDE/>
                    <w:autoSpaceDN/>
                    <w:spacing w:line="360"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厂区污水处理站</w:t>
                  </w:r>
                </w:p>
              </w:tc>
              <w:tc>
                <w:tcPr>
                  <w:tcW w:w="4356" w:type="dxa"/>
                </w:tcPr>
                <w:p>
                  <w:pPr>
                    <w:autoSpaceDE/>
                    <w:autoSpaceDN/>
                    <w:spacing w:line="360"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油烟净化设施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9" w:hRule="atLeast"/>
              </w:trPr>
              <w:tc>
                <w:tcPr>
                  <w:tcW w:w="4386" w:type="dxa"/>
                </w:tcPr>
                <w:p>
                  <w:pPr>
                    <w:autoSpaceDE/>
                    <w:autoSpaceDN/>
                    <w:spacing w:line="360"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drawing>
                      <wp:inline distT="0" distB="0" distL="114300" distR="114300">
                        <wp:extent cx="2644140" cy="1983105"/>
                        <wp:effectExtent l="0" t="0" r="3810" b="17145"/>
                        <wp:docPr id="26" name="图片 26" descr="bfc584c1ab7f391fc2378334f5886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bfc584c1ab7f391fc2378334f58868d"/>
                                <pic:cNvPicPr>
                                  <a:picLocks noChangeAspect="1"/>
                                </pic:cNvPicPr>
                              </pic:nvPicPr>
                              <pic:blipFill>
                                <a:blip r:embed="rId18"/>
                                <a:stretch>
                                  <a:fillRect/>
                                </a:stretch>
                              </pic:blipFill>
                              <pic:spPr>
                                <a:xfrm>
                                  <a:off x="0" y="0"/>
                                  <a:ext cx="2644140" cy="1983105"/>
                                </a:xfrm>
                                <a:prstGeom prst="rect">
                                  <a:avLst/>
                                </a:prstGeom>
                              </pic:spPr>
                            </pic:pic>
                          </a:graphicData>
                        </a:graphic>
                      </wp:inline>
                    </w:drawing>
                  </w:r>
                </w:p>
              </w:tc>
              <w:tc>
                <w:tcPr>
                  <w:tcW w:w="4356" w:type="dxa"/>
                </w:tcPr>
                <w:p>
                  <w:pPr>
                    <w:autoSpaceDE/>
                    <w:autoSpaceDN/>
                    <w:spacing w:line="360"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inline distT="0" distB="0" distL="114300" distR="114300">
                        <wp:extent cx="2620010" cy="2069465"/>
                        <wp:effectExtent l="0" t="0" r="8890" b="6985"/>
                        <wp:docPr id="47" name="图片 47" descr="62dab163404648839a9d52f353ee2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62dab163404648839a9d52f353ee2f1"/>
                                <pic:cNvPicPr>
                                  <a:picLocks noChangeAspect="1"/>
                                </pic:cNvPicPr>
                              </pic:nvPicPr>
                              <pic:blipFill>
                                <a:blip r:embed="rId19"/>
                                <a:stretch>
                                  <a:fillRect/>
                                </a:stretch>
                              </pic:blipFill>
                              <pic:spPr>
                                <a:xfrm>
                                  <a:off x="0" y="0"/>
                                  <a:ext cx="2620010" cy="20694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6" w:type="dxa"/>
                </w:tcPr>
                <w:p>
                  <w:pPr>
                    <w:autoSpaceDE/>
                    <w:autoSpaceDN/>
                    <w:spacing w:line="360"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危废暂存间门口</w:t>
                  </w:r>
                </w:p>
              </w:tc>
              <w:tc>
                <w:tcPr>
                  <w:tcW w:w="4356" w:type="dxa"/>
                </w:tcPr>
                <w:p>
                  <w:pPr>
                    <w:autoSpaceDE/>
                    <w:autoSpaceDN/>
                    <w:spacing w:line="360"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危废暂存间内景图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6" w:type="dxa"/>
                </w:tcPr>
                <w:p>
                  <w:pPr>
                    <w:autoSpaceDE/>
                    <w:autoSpaceDN/>
                    <w:spacing w:line="360"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drawing>
                      <wp:inline distT="0" distB="0" distL="114300" distR="114300">
                        <wp:extent cx="2649855" cy="2981325"/>
                        <wp:effectExtent l="0" t="0" r="1905" b="5715"/>
                        <wp:docPr id="23" name="图片 23" descr="4ca7e61ab3d6260f9173e0e44ea72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4ca7e61ab3d6260f9173e0e44ea72a5"/>
                                <pic:cNvPicPr>
                                  <a:picLocks noChangeAspect="1"/>
                                </pic:cNvPicPr>
                              </pic:nvPicPr>
                              <pic:blipFill>
                                <a:blip r:embed="rId20"/>
                                <a:stretch>
                                  <a:fillRect/>
                                </a:stretch>
                              </pic:blipFill>
                              <pic:spPr>
                                <a:xfrm>
                                  <a:off x="0" y="0"/>
                                  <a:ext cx="2649855" cy="2981325"/>
                                </a:xfrm>
                                <a:prstGeom prst="rect">
                                  <a:avLst/>
                                </a:prstGeom>
                              </pic:spPr>
                            </pic:pic>
                          </a:graphicData>
                        </a:graphic>
                      </wp:inline>
                    </w:drawing>
                  </w:r>
                </w:p>
              </w:tc>
              <w:tc>
                <w:tcPr>
                  <w:tcW w:w="4356" w:type="dxa"/>
                </w:tcPr>
                <w:p>
                  <w:pPr>
                    <w:autoSpaceDE/>
                    <w:autoSpaceDN/>
                    <w:spacing w:line="360"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inline distT="0" distB="0" distL="114300" distR="114300">
                        <wp:extent cx="2658110" cy="3082925"/>
                        <wp:effectExtent l="0" t="0" r="8890" b="10795"/>
                        <wp:docPr id="18" name="图片 18" descr="f134e18f725bad3aeba0047ff75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134e18f725bad3aeba0047ff754209"/>
                                <pic:cNvPicPr>
                                  <a:picLocks noChangeAspect="1"/>
                                </pic:cNvPicPr>
                              </pic:nvPicPr>
                              <pic:blipFill>
                                <a:blip r:embed="rId21"/>
                                <a:stretch>
                                  <a:fillRect/>
                                </a:stretch>
                              </pic:blipFill>
                              <pic:spPr>
                                <a:xfrm>
                                  <a:off x="0" y="0"/>
                                  <a:ext cx="2658110" cy="30829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6" w:type="dxa"/>
                </w:tcPr>
                <w:p>
                  <w:pPr>
                    <w:autoSpaceDE/>
                    <w:autoSpaceDN/>
                    <w:spacing w:line="360"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生物质锅炉排气筒</w:t>
                  </w:r>
                </w:p>
              </w:tc>
              <w:tc>
                <w:tcPr>
                  <w:tcW w:w="4356" w:type="dxa"/>
                </w:tcPr>
                <w:p>
                  <w:pPr>
                    <w:autoSpaceDE/>
                    <w:autoSpaceDN/>
                    <w:spacing w:line="360"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废气排放设施</w:t>
                  </w:r>
                </w:p>
              </w:tc>
            </w:tr>
          </w:tbl>
          <w:p>
            <w:pPr>
              <w:keepNext w:val="0"/>
              <w:keepLines w:val="0"/>
              <w:pageBreakBefore w:val="0"/>
              <w:widowControl w:val="0"/>
              <w:numPr>
                <w:ilvl w:val="0"/>
                <w:numId w:val="0"/>
              </w:numPr>
              <w:kinsoku/>
              <w:wordWrap/>
              <w:overflowPunct/>
              <w:topLinePunct w:val="0"/>
              <w:autoSpaceDE/>
              <w:autoSpaceDN/>
              <w:bidi w:val="0"/>
              <w:spacing w:line="360" w:lineRule="auto"/>
              <w:textAlignment w:val="auto"/>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lang w:eastAsia="zh-CN"/>
              </w:rPr>
            </w:pPr>
          </w:p>
          <w:p>
            <w:pPr>
              <w:pStyle w:val="3"/>
              <w:rPr>
                <w:rFonts w:hint="default" w:ascii="Times New Roman" w:hAnsi="Times New Roman" w:eastAsia="宋体" w:cs="Times New Roman"/>
                <w:color w:val="auto"/>
                <w:lang w:eastAsia="zh-CN"/>
              </w:rPr>
            </w:pPr>
          </w:p>
          <w:p>
            <w:pPr>
              <w:pStyle w:val="3"/>
              <w:rPr>
                <w:rFonts w:hint="default" w:ascii="Times New Roman" w:hAnsi="Times New Roman" w:eastAsia="宋体" w:cs="Times New Roman"/>
                <w:color w:val="auto"/>
                <w:lang w:eastAsia="zh-CN"/>
              </w:rPr>
            </w:pPr>
          </w:p>
          <w:p>
            <w:pPr>
              <w:pStyle w:val="3"/>
              <w:rPr>
                <w:rFonts w:hint="default" w:ascii="Times New Roman" w:hAnsi="Times New Roman" w:eastAsia="宋体" w:cs="Times New Roman"/>
                <w:color w:val="auto"/>
                <w:lang w:eastAsia="zh-CN"/>
              </w:rPr>
            </w:pPr>
          </w:p>
          <w:p>
            <w:pPr>
              <w:pStyle w:val="3"/>
              <w:rPr>
                <w:rFonts w:hint="default" w:ascii="Times New Roman" w:hAnsi="Times New Roman" w:eastAsia="宋体" w:cs="Times New Roman"/>
                <w:color w:val="auto"/>
                <w:lang w:eastAsia="zh-CN"/>
              </w:rPr>
            </w:pPr>
          </w:p>
          <w:p>
            <w:pPr>
              <w:pStyle w:val="3"/>
              <w:rPr>
                <w:rFonts w:hint="default" w:ascii="Times New Roman" w:hAnsi="Times New Roman" w:eastAsia="宋体" w:cs="Times New Roman"/>
                <w:color w:val="auto"/>
                <w:lang w:eastAsia="zh-CN"/>
              </w:rPr>
            </w:pPr>
          </w:p>
          <w:p>
            <w:pPr>
              <w:pStyle w:val="3"/>
              <w:rPr>
                <w:rFonts w:hint="default" w:ascii="Times New Roman" w:hAnsi="Times New Roman" w:eastAsia="宋体" w:cs="Times New Roman"/>
                <w:color w:val="auto"/>
                <w:lang w:eastAsia="zh-CN"/>
              </w:rPr>
            </w:pPr>
          </w:p>
          <w:p>
            <w:pPr>
              <w:pStyle w:val="3"/>
              <w:rPr>
                <w:rFonts w:hint="default" w:ascii="Times New Roman" w:hAnsi="Times New Roman" w:eastAsia="宋体" w:cs="Times New Roman"/>
                <w:color w:val="auto"/>
                <w:lang w:eastAsia="zh-CN"/>
              </w:rPr>
            </w:pPr>
          </w:p>
          <w:p>
            <w:pPr>
              <w:keepNext w:val="0"/>
              <w:keepLines w:val="0"/>
              <w:pageBreakBefore w:val="0"/>
              <w:widowControl w:val="0"/>
              <w:numPr>
                <w:ilvl w:val="0"/>
                <w:numId w:val="1"/>
              </w:numPr>
              <w:kinsoku/>
              <w:wordWrap/>
              <w:overflowPunct/>
              <w:topLinePunct w:val="0"/>
              <w:autoSpaceDE/>
              <w:autoSpaceDN/>
              <w:bidi w:val="0"/>
              <w:spacing w:line="360" w:lineRule="auto"/>
              <w:ind w:firstLine="482"/>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项目监测布点图</w:t>
            </w:r>
          </w:p>
          <w:p>
            <w:pPr>
              <w:numPr>
                <w:ilvl w:val="0"/>
                <w:numId w:val="0"/>
              </w:numPr>
              <w:autoSpaceDE/>
              <w:autoSpaceDN/>
              <w:spacing w:line="360" w:lineRule="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inline distT="0" distB="0" distL="114300" distR="114300">
                  <wp:extent cx="5596255" cy="3241040"/>
                  <wp:effectExtent l="0" t="0" r="4445" b="16510"/>
                  <wp:docPr id="11" name="图片 11" descr="1622786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22786677(1)"/>
                          <pic:cNvPicPr>
                            <a:picLocks noChangeAspect="1"/>
                          </pic:cNvPicPr>
                        </pic:nvPicPr>
                        <pic:blipFill>
                          <a:blip r:embed="rId22"/>
                          <a:stretch>
                            <a:fillRect/>
                          </a:stretch>
                        </pic:blipFill>
                        <pic:spPr>
                          <a:xfrm>
                            <a:off x="0" y="0"/>
                            <a:ext cx="5596255" cy="3241040"/>
                          </a:xfrm>
                          <a:prstGeom prst="rect">
                            <a:avLst/>
                          </a:prstGeom>
                        </pic:spPr>
                      </pic:pic>
                    </a:graphicData>
                  </a:graphic>
                </wp:inline>
              </w:drawing>
            </w:r>
          </w:p>
          <w:p>
            <w:pPr>
              <w:pStyle w:val="2"/>
              <w:jc w:val="center"/>
              <w:rPr>
                <w:rFonts w:hint="default" w:ascii="Times New Roman" w:hAnsi="Times New Roman" w:eastAsia="宋体" w:cs="Times New Roman"/>
                <w:color w:val="auto"/>
                <w:lang w:eastAsia="zh-CN"/>
              </w:rPr>
            </w:pPr>
            <w:r>
              <w:rPr>
                <w:rFonts w:hint="default" w:ascii="Times New Roman" w:hAnsi="Times New Roman" w:eastAsia="宋体" w:cs="Times New Roman"/>
                <w:b/>
                <w:bCs/>
                <w:color w:val="auto"/>
                <w:spacing w:val="-3"/>
                <w:kern w:val="0"/>
                <w:sz w:val="21"/>
                <w:szCs w:val="21"/>
                <w:lang w:val="en-US" w:eastAsia="zh-CN" w:bidi="ar-SA"/>
              </w:rPr>
              <w:t>图6 项目监测点位示意图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4" w:hRule="atLeast"/>
          <w:jc w:val="center"/>
        </w:trPr>
        <w:tc>
          <w:tcPr>
            <w:tcW w:w="5000" w:type="pct"/>
          </w:tcPr>
          <w:p>
            <w:pPr>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360" w:lineRule="auto"/>
              <w:ind w:right="0" w:rightChars="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项目变更情况：</w:t>
            </w:r>
          </w:p>
          <w:p>
            <w:pPr>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表11  项目变更情况一览表</w:t>
            </w:r>
          </w:p>
          <w:tbl>
            <w:tblPr>
              <w:tblStyle w:val="19"/>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68"/>
              <w:gridCol w:w="61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3" w:type="pct"/>
                  <w:tcBorders>
                    <w:tl2br w:val="nil"/>
                    <w:tr2bl w:val="nil"/>
                  </w:tcBorders>
                  <w:shd w:val="clear" w:color="auto" w:fill="D7D7D7" w:themeFill="background1" w:themeFillShade="D8"/>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kern w:val="2"/>
                      <w:sz w:val="21"/>
                      <w:szCs w:val="21"/>
                      <w:highlight w:val="none"/>
                      <w:u w:val="none" w:color="auto"/>
                      <w:vertAlign w:val="baseline"/>
                      <w:lang w:val="en-US" w:eastAsia="zh-CN" w:bidi="ar"/>
                    </w:rPr>
                  </w:pPr>
                  <w:r>
                    <w:rPr>
                      <w:rFonts w:hint="default" w:ascii="Times New Roman" w:hAnsi="Times New Roman" w:eastAsia="宋体" w:cs="Times New Roman"/>
                      <w:b/>
                      <w:bCs/>
                      <w:color w:val="auto"/>
                      <w:kern w:val="2"/>
                      <w:sz w:val="21"/>
                      <w:szCs w:val="21"/>
                      <w:highlight w:val="none"/>
                      <w:u w:val="none" w:color="auto"/>
                      <w:vertAlign w:val="baseline"/>
                      <w:lang w:val="en-US" w:eastAsia="zh-CN" w:bidi="ar"/>
                    </w:rPr>
                    <w:t>项目</w:t>
                  </w:r>
                </w:p>
              </w:tc>
              <w:tc>
                <w:tcPr>
                  <w:tcW w:w="3486" w:type="pct"/>
                  <w:tcBorders>
                    <w:tl2br w:val="nil"/>
                    <w:tr2bl w:val="nil"/>
                  </w:tcBorders>
                  <w:shd w:val="clear" w:color="auto" w:fill="D7D7D7" w:themeFill="background1" w:themeFillShade="D8"/>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kern w:val="2"/>
                      <w:sz w:val="21"/>
                      <w:szCs w:val="21"/>
                      <w:highlight w:val="none"/>
                      <w:u w:val="none" w:color="auto"/>
                      <w:vertAlign w:val="baseline"/>
                      <w:lang w:val="en-US" w:eastAsia="zh-CN" w:bidi="ar"/>
                    </w:rPr>
                  </w:pPr>
                  <w:r>
                    <w:rPr>
                      <w:rFonts w:hint="default" w:ascii="Times New Roman" w:hAnsi="Times New Roman" w:eastAsia="宋体" w:cs="Times New Roman"/>
                      <w:b/>
                      <w:bCs/>
                      <w:color w:val="auto"/>
                      <w:kern w:val="2"/>
                      <w:sz w:val="21"/>
                      <w:szCs w:val="21"/>
                      <w:highlight w:val="none"/>
                      <w:u w:val="none" w:color="auto"/>
                      <w:vertAlign w:val="baseline"/>
                      <w:lang w:val="en-US" w:eastAsia="zh-CN" w:bidi="ar"/>
                    </w:rPr>
                    <w:t>变更内容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3"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t>性质</w:t>
                  </w:r>
                </w:p>
              </w:tc>
              <w:tc>
                <w:tcPr>
                  <w:tcW w:w="3486"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3"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t>规模</w:t>
                  </w:r>
                </w:p>
              </w:tc>
              <w:tc>
                <w:tcPr>
                  <w:tcW w:w="3486"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3"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t>地点</w:t>
                  </w:r>
                </w:p>
              </w:tc>
              <w:tc>
                <w:tcPr>
                  <w:tcW w:w="3486"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3"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t>工艺</w:t>
                  </w:r>
                </w:p>
              </w:tc>
              <w:tc>
                <w:tcPr>
                  <w:tcW w:w="3486"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13"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t>环保</w:t>
                  </w:r>
                </w:p>
              </w:tc>
              <w:tc>
                <w:tcPr>
                  <w:tcW w:w="3486"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t>1、环保措施发生变更，原环评措施为使用乙醇废气收集风机及专用排气筒于屋顶高空排放，实际</w:t>
                  </w:r>
                  <w:r>
                    <w:rPr>
                      <w:rFonts w:hint="eastAsia" w:ascii="Times New Roman" w:hAnsi="Times New Roman" w:cs="Times New Roman"/>
                      <w:b w:val="0"/>
                      <w:bCs w:val="0"/>
                      <w:color w:val="auto"/>
                      <w:kern w:val="2"/>
                      <w:sz w:val="21"/>
                      <w:szCs w:val="21"/>
                      <w:highlight w:val="none"/>
                      <w:u w:val="none" w:color="auto"/>
                      <w:vertAlign w:val="baseline"/>
                      <w:lang w:val="en-US" w:eastAsia="zh-CN" w:bidi="ar"/>
                    </w:rPr>
                    <w:t>消杀用乙醇废气通过空调净化系统排风排放。</w:t>
                  </w:r>
                </w:p>
                <w:p>
                  <w:pPr>
                    <w:pStyle w:val="2"/>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ascii="Times New Roman" w:hAnsi="Times New Roman"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2、危废处置单位由原环评湖南衡兴环保科技开发有限公司变更为湖南瀚洋环保科技有限公司。</w:t>
                  </w:r>
                </w:p>
                <w:p>
                  <w:pPr>
                    <w:pStyle w:val="2"/>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3</w:t>
                  </w:r>
                  <w: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t>、锅炉燃料由煤改为生物质</w:t>
                  </w:r>
                  <w:r>
                    <w:rPr>
                      <w:rFonts w:hint="eastAsia" w:ascii="Times New Roman" w:hAnsi="Times New Roman" w:cs="Times New Roman"/>
                      <w:b w:val="0"/>
                      <w:bCs w:val="0"/>
                      <w:color w:val="auto"/>
                      <w:kern w:val="2"/>
                      <w:sz w:val="21"/>
                      <w:szCs w:val="21"/>
                      <w:highlight w:val="none"/>
                      <w:u w:val="none" w:color="auto"/>
                      <w:vertAlign w:val="baseline"/>
                      <w:lang w:val="en-US" w:eastAsia="zh-CN" w:bidi="ar"/>
                    </w:rPr>
                    <w:t>。</w:t>
                  </w:r>
                </w:p>
              </w:tc>
            </w:tr>
          </w:tbl>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根据上表分析内容可以看出，项目建设性质、建设地点、处理工艺模及环保设施未发生明显改动，项目在环保措施上发生变更，1、环保措施发生变更，原环评措施为使用乙醇废气收集风机及专用排气筒于屋顶高空排放，</w:t>
            </w:r>
            <w:r>
              <w:rPr>
                <w:rFonts w:hint="eastAsia" w:ascii="Times New Roman" w:hAnsi="Times New Roman" w:eastAsia="宋体" w:cs="Times New Roman"/>
                <w:color w:val="auto"/>
                <w:kern w:val="0"/>
                <w:sz w:val="24"/>
                <w:szCs w:val="24"/>
                <w:lang w:val="en-US" w:eastAsia="zh-CN" w:bidi="ar-SA"/>
              </w:rPr>
              <w:t>经过现场调查可知产品中乙醇全年满负荷用量极少（仅占产品总用量的3/1000）,同时专业风机及排气筒的建设不能满足生产车间无菌等级洁净区要求，</w:t>
            </w:r>
            <w:r>
              <w:rPr>
                <w:rFonts w:hint="default" w:ascii="Times New Roman" w:hAnsi="Times New Roman" w:eastAsia="宋体" w:cs="Times New Roman"/>
                <w:color w:val="auto"/>
                <w:kern w:val="0"/>
                <w:sz w:val="24"/>
                <w:szCs w:val="24"/>
                <w:lang w:val="en-US" w:eastAsia="zh-CN" w:bidi="ar-SA"/>
              </w:rPr>
              <w:t>实际消杀用乙醇废气通过空调净化系统排风排放。</w:t>
            </w:r>
            <w:r>
              <w:rPr>
                <w:rFonts w:hint="eastAsia" w:ascii="Times New Roman" w:hAnsi="Times New Roman" w:eastAsia="宋体" w:cs="Times New Roman"/>
                <w:color w:val="auto"/>
                <w:kern w:val="0"/>
                <w:sz w:val="24"/>
                <w:szCs w:val="24"/>
                <w:lang w:val="en-US" w:eastAsia="zh-CN" w:bidi="ar-SA"/>
              </w:rPr>
              <w:t>2、危废处置单位由原环评湖南衡兴环保科技开发有限公司变更为湖南瀚洋环保科技有限公司。此变更无新增新污染源，公司已与有资质单位湖南瀚洋环保科技有限公司签订危废处置协议，项目产生的危险废物均能做到合理处置，未对周边环境造成影响。3</w:t>
            </w:r>
            <w:r>
              <w:rPr>
                <w:rFonts w:hint="default" w:ascii="Times New Roman" w:hAnsi="Times New Roman" w:eastAsia="宋体" w:cs="Times New Roman"/>
                <w:color w:val="auto"/>
                <w:kern w:val="0"/>
                <w:sz w:val="24"/>
                <w:szCs w:val="24"/>
                <w:lang w:val="en-US" w:eastAsia="zh-CN" w:bidi="ar-SA"/>
              </w:rPr>
              <w:t>、锅炉燃料由煤改为生物质，因生物质燃料较煤</w:t>
            </w:r>
            <w:r>
              <w:rPr>
                <w:rFonts w:hint="eastAsia" w:ascii="Times New Roman" w:hAnsi="Times New Roman" w:eastAsia="宋体" w:cs="Times New Roman"/>
                <w:color w:val="auto"/>
                <w:kern w:val="0"/>
                <w:sz w:val="24"/>
                <w:szCs w:val="24"/>
                <w:lang w:val="en-US" w:eastAsia="zh-CN" w:bidi="ar-SA"/>
              </w:rPr>
              <w:t>有利于减少污染物的排放</w:t>
            </w:r>
            <w:r>
              <w:rPr>
                <w:rFonts w:hint="default" w:ascii="Times New Roman" w:hAnsi="Times New Roman" w:eastAsia="宋体" w:cs="Times New Roman"/>
                <w:color w:val="auto"/>
                <w:kern w:val="0"/>
                <w:sz w:val="24"/>
                <w:szCs w:val="24"/>
                <w:lang w:val="en-US" w:eastAsia="zh-CN" w:bidi="ar-SA"/>
              </w:rPr>
              <w:t>，故本项变更实质属于污染防治措施强化或者改进的情况，同时生物质锅炉采用多管旋风＋布袋除尘的防治措施，有效的减少了污染物的排放量。</w:t>
            </w: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p>
          <w:p>
            <w:pPr>
              <w:pStyle w:val="9"/>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color w:val="auto"/>
                <w:kern w:val="0"/>
                <w:sz w:val="24"/>
                <w:szCs w:val="24"/>
                <w:lang w:val="en-US" w:eastAsia="zh-CN" w:bidi="ar-SA"/>
              </w:rPr>
            </w:pPr>
          </w:p>
        </w:tc>
      </w:tr>
    </w:tbl>
    <w:p>
      <w:pPr>
        <w:widowControl/>
        <w:autoSpaceDE/>
        <w:autoSpaceDN/>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br w:type="page"/>
      </w:r>
    </w:p>
    <w:p>
      <w:pPr>
        <w:pStyle w:val="10"/>
        <w:rPr>
          <w:rFonts w:hint="default" w:ascii="Times New Roman" w:hAnsi="Times New Roman" w:eastAsia="宋体" w:cs="Times New Roman"/>
          <w:b/>
          <w:color w:val="auto"/>
          <w:lang w:eastAsia="zh-CN"/>
        </w:rPr>
      </w:pPr>
      <w:r>
        <w:rPr>
          <w:rFonts w:hint="default" w:ascii="Times New Roman" w:hAnsi="Times New Roman" w:eastAsia="宋体" w:cs="Times New Roman"/>
          <w:b/>
          <w:color w:val="auto"/>
        </w:rPr>
        <w:t>表</w:t>
      </w:r>
      <w:r>
        <w:rPr>
          <w:rFonts w:hint="default" w:ascii="Times New Roman" w:hAnsi="Times New Roman" w:eastAsia="宋体" w:cs="Times New Roman"/>
          <w:b/>
          <w:color w:val="auto"/>
          <w:lang w:eastAsia="zh-CN"/>
        </w:rPr>
        <w:t>四</w:t>
      </w:r>
    </w:p>
    <w:tbl>
      <w:tblPr>
        <w:tblStyle w:val="18"/>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6" w:hRule="atLeast"/>
          <w:jc w:val="center"/>
        </w:trPr>
        <w:tc>
          <w:tcPr>
            <w:tcW w:w="9039" w:type="dxa"/>
          </w:tcPr>
          <w:p>
            <w:pPr>
              <w:pStyle w:val="10"/>
              <w:keepNext w:val="0"/>
              <w:keepLines w:val="0"/>
              <w:pageBreakBefore w:val="0"/>
              <w:widowControl w:val="0"/>
              <w:kinsoku/>
              <w:wordWrap/>
              <w:overflowPunct/>
              <w:topLinePunct w:val="0"/>
              <w:bidi w:val="0"/>
              <w:adjustRightInd/>
              <w:snapToGrid/>
              <w:spacing w:line="360" w:lineRule="auto"/>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建设项目环境影响报告主要结论及审批部门审批决定：</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环境影响报告表主要结论：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对照《湖南科伦制药有限公司岳阳分公司综合制剂二扩建项目建设项目环境影响报告表》，环评结论与建议见表12。</w:t>
            </w:r>
          </w:p>
          <w:p>
            <w:pPr>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表12  环评结论与建议一览表</w:t>
            </w:r>
          </w:p>
          <w:tbl>
            <w:tblPr>
              <w:tblStyle w:val="1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81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4" w:type="pct"/>
                  <w:tcBorders>
                    <w:tl2br w:val="nil"/>
                    <w:tr2bl w:val="nil"/>
                  </w:tcBorders>
                  <w:shd w:val="clear" w:color="auto" w:fill="D7D7D7" w:themeFill="background1" w:themeFillShade="D8"/>
                  <w:vAlign w:val="center"/>
                </w:tcPr>
                <w:p>
                  <w:pPr>
                    <w:pStyle w:val="1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项目</w:t>
                  </w:r>
                </w:p>
              </w:tc>
              <w:tc>
                <w:tcPr>
                  <w:tcW w:w="4615" w:type="pct"/>
                  <w:tcBorders>
                    <w:tl2br w:val="nil"/>
                    <w:tr2bl w:val="nil"/>
                  </w:tcBorders>
                  <w:shd w:val="clear" w:color="auto" w:fill="D7D7D7" w:themeFill="background1" w:themeFillShade="D8"/>
                  <w:vAlign w:val="center"/>
                </w:tcPr>
                <w:p>
                  <w:pPr>
                    <w:pStyle w:val="1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环境影响评价报告表相关要求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4" w:type="pct"/>
                  <w:tcBorders>
                    <w:tl2br w:val="nil"/>
                    <w:tr2bl w:val="nil"/>
                  </w:tcBorders>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w:t>
                  </w:r>
                </w:p>
              </w:tc>
              <w:tc>
                <w:tcPr>
                  <w:tcW w:w="4615"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①工艺废气：</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扩建工程粉碎、过筛、混合工序产生的颗粒物，通过自带布袋除尘器，除尘器收集的物料返回设备回收利用，尾气室内排放。</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除设备自带除尘器以外，称量粉碎、过筛、混合工序的操作间均有单独室内除尘器（台除尘设施），除尘器排风量约4000m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/h，排气筒高出屋顶2m（总高度20m），排风筒口直径约为50cm。符合《大气污染物综合排放标准》（GB16297—1996）表2中二级标准要求，不会对大气环境产生明显影响。</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②锅炉废气：</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厂区现有锅炉需在2016年年底前完成使用清洁能源锅炉的改造、并另行环评。各污染因子均符合《锅炉大气污染物排放标准》（GB13271—2001）II时段二类区标准要求，对区域大气环境影响较小。</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③乙醇：</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生产过程中使用乙醇挥发的乙醇废气通过风机及专设的排气筒于车间顶部高空排放，符合相关环保要求，对周边大气环境影响较小。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4" w:type="pct"/>
                  <w:tcBorders>
                    <w:tl2br w:val="nil"/>
                    <w:tr2bl w:val="nil"/>
                  </w:tcBorders>
                  <w:vAlign w:val="center"/>
                </w:tcPr>
                <w:p>
                  <w:pPr>
                    <w:pStyle w:val="1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w:t>
                  </w:r>
                </w:p>
              </w:tc>
              <w:tc>
                <w:tcPr>
                  <w:tcW w:w="4615"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本扩建工程为其废水来源主要为洗瓶、洗塞废水、地面冲洗水及新增劳动员工（50人）的生活污水4 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d。生产废水与生活污水合并排入厂区污水处理站进行处理，处理达标后再排入市政污水管网，进入罗家坡污水处理厂处理达标后外排南湖。根据2015年岳阳市环境监测中心废水总排口监督性监测结果，外排废水满足《污水综合排放标准》（GB8978-1996）表4中三级排放标准要求。污水处理站采用A</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O工艺，设计规模为600m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 xml:space="preserve"> /d。本次扩建工程完成后，全公司产生的废水约392m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/d。工程设计污水处理站规模满足水处理要求。</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目前，工程所在区域的排水管网已经建好，而且罗家坡污水处理厂也已经建好，由此，本项目污水排往罗家坡污水处理厂是可行的。</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扩建工程完成后，公司废水经污水处理站处理达到《污水综合排放标准》三级标准后经管网进入罗家坡污水处理厂进一步处理后外排，不会对纳污水体产生明显影响。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4" w:type="pct"/>
                  <w:tcBorders>
                    <w:tl2br w:val="nil"/>
                    <w:tr2bl w:val="nil"/>
                  </w:tcBorders>
                  <w:vAlign w:val="center"/>
                </w:tcPr>
                <w:p>
                  <w:pPr>
                    <w:pStyle w:val="10"/>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噪声</w:t>
                  </w:r>
                </w:p>
              </w:tc>
              <w:tc>
                <w:tcPr>
                  <w:tcW w:w="4615"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扩建工程新增噪声设备主要为风机、清洗机、包装机、灌装机、轧盖机等生产设备，噪声源强不高，在70-90dB（A）之间。所有噪声设备均布置于生产车间内部，并且生产车间采取了减震、隔声措施。这些设备噪声传播至车间外时，其噪声将产生约30-35 dB（A）以上的衰减，车间外噪声基本已符合《工业企业厂界环境噪声排放标准》（GB12348-2008）中的3类标准，厂界噪声可以做到达标排放，不会对区域声环境质量产生大的影响。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384" w:type="pct"/>
                  <w:tcBorders>
                    <w:tl2br w:val="nil"/>
                    <w:tr2bl w:val="nil"/>
                  </w:tcBorders>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固体废物</w:t>
                  </w:r>
                </w:p>
              </w:tc>
              <w:tc>
                <w:tcPr>
                  <w:tcW w:w="4615"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炉渣在锅炉房除尘设备边建设有专门的暂存池暂存，废包装物在车间内建设有专门的贮存间存放，废活性炭属于危险废物，应当交由有资质的单位处理。</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以上废物均合理进行了暂存和处置，符合固体废物处置处理的基本原则，不会对区域环境产生大的污染影响。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5" w:hRule="atLeast"/>
              </w:trPr>
              <w:tc>
                <w:tcPr>
                  <w:tcW w:w="384" w:type="pct"/>
                  <w:tcBorders>
                    <w:tl2br w:val="nil"/>
                    <w:tr2bl w:val="nil"/>
                  </w:tcBorders>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环评建议</w:t>
                  </w:r>
                </w:p>
              </w:tc>
              <w:tc>
                <w:tcPr>
                  <w:tcW w:w="4615"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1、加强日常生产可污染治理设施的检查与维护，确保污染物长期稳定达标排放。</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2、依法规范生产，确保药品质量和药品安全。</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3、尽快实现燃气锅炉取代现有燃煤锅炉，在燃气锅炉建成前，加强煤质控制，坚持长期使用低硫煤。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0" w:hRule="atLeast"/>
              </w:trPr>
              <w:tc>
                <w:tcPr>
                  <w:tcW w:w="384" w:type="pct"/>
                  <w:tcBorders>
                    <w:tl2br w:val="nil"/>
                    <w:tr2bl w:val="nil"/>
                  </w:tcBorders>
                  <w:vAlign w:val="center"/>
                </w:tcPr>
                <w:p>
                  <w:pPr>
                    <w:pStyle w:val="1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环评结论</w:t>
                  </w:r>
                </w:p>
              </w:tc>
              <w:tc>
                <w:tcPr>
                  <w:tcW w:w="4615" w:type="pct"/>
                  <w:tcBorders>
                    <w:tl2br w:val="nil"/>
                    <w:tr2bl w:val="nil"/>
                  </w:tcBorders>
                  <w:vAlign w:val="center"/>
                </w:tcPr>
                <w:p>
                  <w:pPr>
                    <w:pStyle w:val="10"/>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    湖南科伦制药有限公司岳阳分公司综合制剂二扩建项目符合国家产业政策，符合工业园产业定位及功能分区要求，选址可行，其主要污染经采取本报告提出的防治措施后，污染物可达标排放，对水环境、大气环境、声环境不会产生大的影响。从环保角度看，本项目的建设可行。</w:t>
                  </w:r>
                </w:p>
              </w:tc>
            </w:tr>
          </w:tbl>
          <w:p>
            <w:pPr>
              <w:widowControl/>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审批部门审批决定：</w:t>
            </w:r>
          </w:p>
          <w:p>
            <w:pPr>
              <w:pStyle w:val="10"/>
              <w:keepNext w:val="0"/>
              <w:keepLines w:val="0"/>
              <w:pageBreakBefore w:val="0"/>
              <w:kinsoku/>
              <w:wordWrap/>
              <w:overflowPunct/>
              <w:topLinePunct w:val="0"/>
              <w:autoSpaceDE w:val="0"/>
              <w:autoSpaceDN w:val="0"/>
              <w:bidi w:val="0"/>
              <w:adjustRightInd/>
              <w:snapToGrid/>
              <w:spacing w:line="360" w:lineRule="auto"/>
              <w:ind w:right="224"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岳阳市环境保护局岳阳经济技术开发区分局以“岳经环评〔</w:t>
            </w:r>
            <w:r>
              <w:rPr>
                <w:rFonts w:hint="default" w:ascii="Times New Roman" w:hAnsi="Times New Roman" w:eastAsia="宋体" w:cs="Times New Roman"/>
                <w:color w:val="auto"/>
                <w:sz w:val="24"/>
                <w:szCs w:val="24"/>
                <w:lang w:val="en-US" w:eastAsia="zh-CN"/>
              </w:rPr>
              <w:t>2016</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019</w:t>
            </w:r>
            <w:r>
              <w:rPr>
                <w:rFonts w:hint="default" w:ascii="Times New Roman" w:hAnsi="Times New Roman" w:eastAsia="宋体" w:cs="Times New Roman"/>
                <w:color w:val="auto"/>
                <w:sz w:val="24"/>
                <w:szCs w:val="24"/>
                <w:lang w:eastAsia="zh-CN"/>
              </w:rPr>
              <w:t>号”文件对湖南科伦制药有限公司岳阳分公司开展的湖南科伦制药有限公司岳阳分公司综合制剂二扩建项目建设项目环境影响报告表进行批复。批复的内容如下：</w:t>
            </w:r>
          </w:p>
          <w:p>
            <w:pPr>
              <w:pStyle w:val="10"/>
              <w:keepNext w:val="0"/>
              <w:keepLines w:val="0"/>
              <w:pageBreakBefore w:val="0"/>
              <w:kinsoku/>
              <w:wordWrap/>
              <w:overflowPunct/>
              <w:topLinePunct w:val="0"/>
              <w:autoSpaceDE w:val="0"/>
              <w:autoSpaceDN w:val="0"/>
              <w:bidi w:val="0"/>
              <w:adjustRightInd/>
              <w:snapToGrid/>
              <w:spacing w:line="360" w:lineRule="auto"/>
              <w:ind w:right="224" w:firstLine="480" w:firstLineChars="20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4"/>
                <w:szCs w:val="24"/>
                <w:lang w:eastAsia="zh-CN"/>
              </w:rPr>
              <w:t>湖南科伦制药有限公司岳阳分公司综合制剂二扩建项目位于现有厂区办公楼北侧区域预留空地上，总建筑面积7000平方米，总投资7500万元。扩建工程主要为一栋建筑面积为7000平方米的生产车间，包含3条生产线。主要建设内容为主体工程、装饰工程，工艺设备及管 道安装工程，电气设备及安装工程，暖通设备及安装工程，（车间内）给排水、消防设备及安装工程，热力站设备及安 装工程，自控弱电设备及安装工程等。主要产品为卡巴他赛注射液（规格1.5ml）1350万支、盐酸吉西他滨注射液（规格20ml）1350万支、l</w:t>
            </w:r>
            <w:r>
              <w:rPr>
                <w:rFonts w:hint="default" w:ascii="Times New Roman" w:hAnsi="Times New Roman" w:eastAsia="宋体" w:cs="Times New Roman"/>
                <w:color w:val="auto"/>
                <w:sz w:val="24"/>
                <w:szCs w:val="24"/>
                <w:lang w:val="en-US" w:eastAsia="zh-CN"/>
              </w:rPr>
              <w:t>00</w:t>
            </w:r>
            <w:r>
              <w:rPr>
                <w:rFonts w:hint="default" w:ascii="Times New Roman" w:hAnsi="Times New Roman" w:eastAsia="宋体" w:cs="Times New Roman"/>
                <w:color w:val="auto"/>
                <w:sz w:val="24"/>
                <w:szCs w:val="24"/>
                <w:lang w:eastAsia="zh-CN"/>
              </w:rPr>
              <w:t>mg注射用紫杉醇（白蛋白结合型）135万瓶、5mg阿西替尼片5400万片。原辅材料为冻干粉针生产线（产品为注射用紫杉醇）：API</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eastAsia="zh-CN"/>
              </w:rPr>
              <w:t>0.0675（吨/年）、人血白蛋白0.6075（吨/年）、乙醇（无水）2.25（吨/年）；小容量注射液生产线（产品为卡巴他赛注射液、盐酸吉西他滨注射液）：API0405（吨/年）、聚山梨酯8010.53（吨/年）、乙醇（无水）5.265（吨/年）、枸椽酸（一水）0. 0203（吨/年）、药用炭0.0081（吨/年）、API1.875（吨/年）、三水醋酸钠0.183（吨/年）；固体制剂生产 线（产品为阿西替尼片）API 0.338（吨/年）、乳糖 100目3.645（吨/年）、微晶纤维素PH102 7.965、交联梭甲基纤维素钠0.337（吨/年）、硬脂酸镁0.068（吨/年）。环保设施除自带除尘器外，其他废水、废气、危废暂存、事故池均依托公司</w:t>
            </w:r>
            <w:r>
              <w:rPr>
                <w:rFonts w:hint="eastAsia" w:ascii="Times New Roman" w:hAnsi="Times New Roman" w:eastAsia="宋体" w:cs="Times New Roman"/>
                <w:color w:val="auto"/>
                <w:sz w:val="24"/>
                <w:szCs w:val="24"/>
                <w:lang w:eastAsia="zh-CN"/>
              </w:rPr>
              <w:t>现有</w:t>
            </w:r>
            <w:r>
              <w:rPr>
                <w:rFonts w:hint="default" w:ascii="Times New Roman" w:hAnsi="Times New Roman" w:eastAsia="宋体" w:cs="Times New Roman"/>
                <w:color w:val="auto"/>
                <w:sz w:val="24"/>
                <w:szCs w:val="24"/>
                <w:lang w:eastAsia="zh-CN"/>
              </w:rPr>
              <w:t>设施。项目建设符合国家产业政策，根据湖南润美环保科技有限公司编制的环境影响报告表的分析结论、专家评审意见，从环境保护角度考虑，同意本项目按报告表中所列建 设内容和地点建设。</w:t>
            </w:r>
          </w:p>
          <w:p>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一、工程建设及营运过程中，须按照环境保护“三同时”制度要求，认真落实专家及环评报告表中提出的各项污染防治措施。配套建设污染防治设施，加强环境管理，确保外排污染物长期稳定达标排放。在工程设计、施工和管理中，应着重注意以下问题：</w:t>
            </w:r>
          </w:p>
          <w:p>
            <w:pPr>
              <w:keepNext w:val="0"/>
              <w:keepLines w:val="0"/>
              <w:pageBreakBefore w:val="0"/>
              <w:widowControl/>
              <w:numPr>
                <w:ilvl w:val="0"/>
                <w:numId w:val="2"/>
              </w:numPr>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废气污染防治工作。项目建设期施工用沙石、水泥等易产生扬尘的建筑物料要求规范堆放并加以覆盖，施工现场应设置防尘布或防尘网并及时洒水，防止扬尘污染，渣土运输必须用专用车辆并有防抛洒措施。生产线中原辅材料粉碎、过筛、混合工序产生的颗粒物，通过自带布袋除尘器处理，除尘器收集的物料返回设备回收利用，尾气室内排放，再通 过室内除尘器处理达到《大气污染物综合排放标准》</w:t>
            </w:r>
          </w:p>
          <w:p>
            <w:pPr>
              <w:keepNext w:val="0"/>
              <w:keepLines w:val="0"/>
              <w:pageBreakBefore w:val="0"/>
              <w:widowControl/>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废水污染防治工作。项目洗瓶、洗塞废水、地面冲洗水及生活污水合并排入厂区污水处理站进行处理，处理后须达到罗家坡污水处理厂的接纳标准再排入市政污水管网。</w:t>
            </w:r>
          </w:p>
          <w:p>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、噪声污染防治工作。项目建设期应合理安排施工时 间，夜间(晚10时至次日晨6时)不得进行高噪声作业，边界噪声应符合国家标准要求，防止噪声扰民。项目选用低 噪声设备，对产生噪声的设备和工序进行合理布局，并对风机、清洗机、包装机、灌装机、轧盖机等设备安装时采取消 声、隔声、减振等降噪措施，确保厂界噪声达到《工业企业 厂界环境噪声排放标准》(GB12348-2008)中的3类标准要求。</w:t>
            </w:r>
          </w:p>
          <w:p>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4、强化各类固废的临时储存、处置措施和管理工作。各类原辅材料及固体废物不得露天堆放。分类堆放固体废物，建立固体废物产生、转运、处置管理台账。医药废物等 危险固废送有资质的单位安全处置，并严格按照《危险废物 贮存污染控制标准》(GB18597-2001)建设危险废物暂存处；废包装材料由专业公司回收处理，炉渣送砖厂综合利用，污泥送垃圾填埋场处置；生活垃圾集中收集，送环卫部门统一 处置。</w:t>
            </w:r>
          </w:p>
          <w:p>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eastAsia="zh-CN"/>
              </w:rPr>
              <w:t>、加强营运期风险防范和防止风险事故的发生，建立健全环境风险应急预案并组织演练，确保周边环境安全。</w:t>
            </w:r>
          </w:p>
          <w:p>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6、强化厂容厂貌建设和生产现场管理，加强车间地面、设备的防尘保洁，保持整洁有序，美化绿化，积极推行清洁生产。</w:t>
            </w:r>
          </w:p>
          <w:p>
            <w:pPr>
              <w:pStyle w:val="2"/>
              <w:spacing w:line="360" w:lineRule="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kern w:val="0"/>
                <w:sz w:val="24"/>
                <w:szCs w:val="24"/>
                <w:lang w:val="en-US" w:eastAsia="zh-CN" w:bidi="ar-SA"/>
              </w:rPr>
              <w:t xml:space="preserve"> 7、落实报告表提出的各项环境管理措施，建立健全污染防治设施运行管理台帐，设专门的环保机构及环保人员， 确保各项污染防治设施的正常运行，各类污染物稳定达标排放。</w:t>
            </w:r>
          </w:p>
          <w:p>
            <w:pPr>
              <w:pStyle w:val="25"/>
              <w:spacing w:before="7" w:line="360" w:lineRule="auto"/>
              <w:ind w:left="107" w:right="164" w:firstLine="480"/>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8、污染物排放排放总量控制为：C0D≤</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33t/a、SO</w:t>
            </w:r>
            <w:r>
              <w:rPr>
                <w:rFonts w:hint="default" w:ascii="Times New Roman" w:hAnsi="Times New Roman" w:eastAsia="宋体" w:cs="Times New Roman"/>
                <w:color w:val="auto"/>
                <w:sz w:val="24"/>
                <w:szCs w:val="24"/>
                <w:vertAlign w:val="subscript"/>
                <w:lang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eastAsia="zh-CN"/>
              </w:rPr>
              <w:t>09t/a、氨氮.≤</w:t>
            </w:r>
            <w:r>
              <w:rPr>
                <w:rFonts w:hint="default"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lang w:eastAsia="zh-CN"/>
              </w:rPr>
              <w:t>079t/a、NO</w:t>
            </w:r>
            <w:r>
              <w:rPr>
                <w:rFonts w:hint="default" w:ascii="Times New Roman" w:hAnsi="Times New Roman" w:eastAsia="宋体" w:cs="Times New Roman"/>
                <w:color w:val="auto"/>
                <w:sz w:val="24"/>
                <w:szCs w:val="24"/>
                <w:vertAlign w:val="subscript"/>
                <w:lang w:eastAsia="zh-CN"/>
              </w:rPr>
              <w:t>X</w:t>
            </w:r>
            <w:r>
              <w:rPr>
                <w:rFonts w:hint="default" w:ascii="Times New Roman" w:hAnsi="Times New Roman" w:eastAsia="宋体" w:cs="Times New Roman"/>
                <w:color w:val="auto"/>
                <w:sz w:val="24"/>
                <w:szCs w:val="24"/>
                <w:lang w:eastAsia="zh-CN"/>
              </w:rPr>
              <w:t>≤15.62t/a,公司目前有总量余量，未超出公司总量指标，不需另行申请总量。</w:t>
            </w:r>
          </w:p>
          <w:p>
            <w:pPr>
              <w:pStyle w:val="25"/>
              <w:spacing w:before="7" w:line="360" w:lineRule="auto"/>
              <w:ind w:left="107" w:right="164" w:firstLine="480"/>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二、该项目竣工后，须按照《建设项目竣工环境保护验 收管理办法》的规定，向我分局申请对配套建设的环境保护设施验收，并经验收合格后，方可投入正式运营。</w:t>
            </w:r>
          </w:p>
          <w:p>
            <w:pPr>
              <w:pStyle w:val="25"/>
              <w:spacing w:before="7" w:line="360" w:lineRule="auto"/>
              <w:ind w:left="107" w:right="164" w:firstLine="480"/>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三、项目建设的日常环境监督管理工作由岳阳市环保局岳阳经济开发区分局环境监察大队具体负责。</w:t>
            </w:r>
          </w:p>
          <w:p>
            <w:pPr>
              <w:bidi w:val="0"/>
              <w:rPr>
                <w:rFonts w:hint="default" w:ascii="Times New Roman" w:hAnsi="Times New Roman" w:eastAsia="宋体" w:cs="Times New Roman"/>
                <w:color w:val="auto"/>
                <w:sz w:val="24"/>
                <w:szCs w:val="24"/>
                <w:lang w:eastAsia="zh-CN"/>
              </w:rPr>
            </w:pPr>
          </w:p>
          <w:p>
            <w:pPr>
              <w:bidi w:val="0"/>
              <w:rPr>
                <w:rFonts w:hint="default" w:ascii="Times New Roman" w:hAnsi="Times New Roman" w:eastAsia="宋体" w:cs="Times New Roman"/>
                <w:color w:val="auto"/>
                <w:sz w:val="24"/>
                <w:szCs w:val="24"/>
                <w:lang w:eastAsia="zh-CN"/>
              </w:rPr>
            </w:pPr>
          </w:p>
          <w:p>
            <w:pPr>
              <w:bidi w:val="0"/>
              <w:rPr>
                <w:rFonts w:hint="default" w:ascii="Times New Roman" w:hAnsi="Times New Roman" w:eastAsia="宋体" w:cs="Times New Roman"/>
                <w:color w:val="auto"/>
                <w:sz w:val="24"/>
                <w:szCs w:val="24"/>
                <w:lang w:eastAsia="zh-CN"/>
              </w:rPr>
            </w:pPr>
          </w:p>
          <w:p>
            <w:pPr>
              <w:bidi w:val="0"/>
              <w:rPr>
                <w:rFonts w:hint="default" w:ascii="Times New Roman" w:hAnsi="Times New Roman" w:eastAsia="宋体" w:cs="Times New Roman"/>
                <w:color w:val="auto"/>
                <w:sz w:val="24"/>
                <w:szCs w:val="24"/>
                <w:lang w:eastAsia="zh-CN"/>
              </w:rPr>
            </w:pPr>
          </w:p>
          <w:p>
            <w:pPr>
              <w:bidi w:val="0"/>
              <w:rPr>
                <w:rFonts w:hint="default" w:ascii="Times New Roman" w:hAnsi="Times New Roman" w:eastAsia="宋体" w:cs="Times New Roman"/>
                <w:color w:val="auto"/>
                <w:sz w:val="24"/>
                <w:szCs w:val="24"/>
                <w:lang w:eastAsia="zh-CN"/>
              </w:rPr>
            </w:pPr>
          </w:p>
          <w:p>
            <w:pPr>
              <w:tabs>
                <w:tab w:val="left" w:pos="902"/>
              </w:tabs>
              <w:bidi w:val="0"/>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ab/>
            </w:r>
          </w:p>
          <w:p>
            <w:pPr>
              <w:pStyle w:val="2"/>
              <w:rPr>
                <w:rFonts w:hint="default" w:ascii="Times New Roman" w:hAnsi="Times New Roman" w:eastAsia="宋体" w:cs="Times New Roman"/>
                <w:color w:val="auto"/>
                <w:sz w:val="24"/>
                <w:szCs w:val="24"/>
                <w:lang w:eastAsia="zh-CN"/>
              </w:rPr>
            </w:pPr>
          </w:p>
          <w:p>
            <w:pPr>
              <w:pStyle w:val="2"/>
              <w:rPr>
                <w:rFonts w:hint="default" w:ascii="Times New Roman" w:hAnsi="Times New Roman" w:eastAsia="宋体" w:cs="Times New Roman"/>
                <w:color w:val="auto"/>
                <w:sz w:val="24"/>
                <w:szCs w:val="24"/>
                <w:lang w:eastAsia="zh-CN"/>
              </w:rPr>
            </w:pPr>
          </w:p>
          <w:p>
            <w:pPr>
              <w:pStyle w:val="2"/>
              <w:rPr>
                <w:rFonts w:hint="default" w:ascii="Times New Roman" w:hAnsi="Times New Roman" w:eastAsia="宋体" w:cs="Times New Roman"/>
                <w:color w:val="auto"/>
                <w:sz w:val="24"/>
                <w:szCs w:val="24"/>
                <w:lang w:eastAsia="zh-CN"/>
              </w:rPr>
            </w:pPr>
          </w:p>
        </w:tc>
      </w:tr>
    </w:tbl>
    <w:p>
      <w:pPr>
        <w:pStyle w:val="1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br w:type="page"/>
      </w:r>
    </w:p>
    <w:p>
      <w:pPr>
        <w:spacing w:line="386" w:lineRule="exact"/>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rPr>
        <w:t>表</w:t>
      </w:r>
      <w:r>
        <w:rPr>
          <w:rFonts w:hint="default" w:ascii="Times New Roman" w:hAnsi="Times New Roman" w:eastAsia="宋体" w:cs="Times New Roman"/>
          <w:b/>
          <w:color w:val="auto"/>
          <w:sz w:val="24"/>
          <w:szCs w:val="24"/>
          <w:lang w:eastAsia="zh-CN"/>
        </w:rPr>
        <w:t>五</w:t>
      </w:r>
    </w:p>
    <w:tbl>
      <w:tblPr>
        <w:tblStyle w:val="19"/>
        <w:tblW w:w="5000" w:type="pct"/>
        <w:jc w:val="center"/>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522"/>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jc w:val="center"/>
        </w:trPr>
        <w:tc>
          <w:tcPr>
            <w:tcW w:w="5000" w:type="pct"/>
            <w:tcBorders>
              <w:tl2br w:val="nil"/>
              <w:tr2bl w:val="nil"/>
            </w:tcBorders>
          </w:tcPr>
          <w:p>
            <w:pPr>
              <w:pStyle w:val="25"/>
              <w:keepNext w:val="0"/>
              <w:keepLines w:val="0"/>
              <w:pageBreakBefore w:val="0"/>
              <w:widowControl w:val="0"/>
              <w:kinsoku/>
              <w:wordWrap/>
              <w:overflowPunct/>
              <w:topLinePunct w:val="0"/>
              <w:autoSpaceDE w:val="0"/>
              <w:autoSpaceDN w:val="0"/>
              <w:bidi w:val="0"/>
              <w:adjustRightInd/>
              <w:snapToGrid/>
              <w:spacing w:before="7" w:line="360" w:lineRule="auto"/>
              <w:ind w:right="164"/>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验收监测质量保证及质量控制：</w:t>
            </w:r>
          </w:p>
          <w:p>
            <w:pPr>
              <w:pStyle w:val="25"/>
              <w:keepNext w:val="0"/>
              <w:keepLines w:val="0"/>
              <w:pageBreakBefore w:val="0"/>
              <w:widowControl w:val="0"/>
              <w:kinsoku/>
              <w:wordWrap/>
              <w:overflowPunct/>
              <w:topLinePunct w:val="0"/>
              <w:autoSpaceDE w:val="0"/>
              <w:autoSpaceDN w:val="0"/>
              <w:bidi w:val="0"/>
              <w:adjustRightInd/>
              <w:snapToGrid/>
              <w:spacing w:before="7" w:line="360" w:lineRule="auto"/>
              <w:ind w:right="164"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1、人员能力</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参加本次验收监测人员包括（鲁海霞），监测人员经考核并持有合格证书。</w:t>
            </w:r>
          </w:p>
          <w:p>
            <w:pPr>
              <w:pStyle w:val="25"/>
              <w:keepNext w:val="0"/>
              <w:keepLines w:val="0"/>
              <w:pageBreakBefore w:val="0"/>
              <w:widowControl w:val="0"/>
              <w:kinsoku/>
              <w:wordWrap/>
              <w:overflowPunct/>
              <w:topLinePunct w:val="0"/>
              <w:autoSpaceDE w:val="0"/>
              <w:autoSpaceDN w:val="0"/>
              <w:bidi w:val="0"/>
              <w:adjustRightInd/>
              <w:snapToGrid/>
              <w:spacing w:before="7" w:line="360" w:lineRule="auto"/>
              <w:ind w:right="164"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2、水质监测分析过程中的质量保证和质量控制</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水样的采集、运输、保存、实验室分析和数据计算的全过程均按照国家颁布的标准分析方法和《水质监测质量保证手册》、《水和废水监测分析方法》（第四版）及有关规范要求进行。采样过程采集不少于10%的平行样；实验室分析过程不少于10%的平行样；可以得到标准样品或质量控制样品的项目，同时分析10%的质控样品；对无标准样品或质量控制样品的项目，同时做10%的加标回收样品分析，确保水质监测结果真实可靠，本次验收监测质量保证单见附件。</w:t>
            </w:r>
          </w:p>
          <w:p>
            <w:pPr>
              <w:pStyle w:val="25"/>
              <w:keepNext w:val="0"/>
              <w:keepLines w:val="0"/>
              <w:pageBreakBefore w:val="0"/>
              <w:widowControl w:val="0"/>
              <w:kinsoku/>
              <w:wordWrap/>
              <w:overflowPunct/>
              <w:topLinePunct w:val="0"/>
              <w:autoSpaceDE w:val="0"/>
              <w:autoSpaceDN w:val="0"/>
              <w:bidi w:val="0"/>
              <w:adjustRightInd/>
              <w:snapToGrid/>
              <w:spacing w:before="7" w:line="360" w:lineRule="auto"/>
              <w:ind w:right="164"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3、气体监测分析过程中的质量保证和质量控制</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废气采样、监测分析按照国家颁布的标准分析方法和《空气质量保证手册》、《空气和废气监测分析方法》及有关规范进行采样，保证被测污染因子浓度在仪器测试量程的有效范围，大气采样器在进入现场前对流量计、流速仪进行校准，本次验收监测质量保证单见附件。</w:t>
            </w:r>
          </w:p>
          <w:p>
            <w:pPr>
              <w:pStyle w:val="25"/>
              <w:keepNext w:val="0"/>
              <w:keepLines w:val="0"/>
              <w:pageBreakBefore w:val="0"/>
              <w:widowControl w:val="0"/>
              <w:kinsoku/>
              <w:wordWrap/>
              <w:overflowPunct/>
              <w:topLinePunct w:val="0"/>
              <w:autoSpaceDE w:val="0"/>
              <w:autoSpaceDN w:val="0"/>
              <w:bidi w:val="0"/>
              <w:adjustRightInd/>
              <w:snapToGrid/>
              <w:spacing w:before="7" w:line="360" w:lineRule="auto"/>
              <w:ind w:right="164"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4、噪声监测分析过程中的质量保证和质量控制</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所用分析仪器经过计量检定和校准；现场监测仪器使用前都经过了校准噪声监测严格按照《环境监测技术规范》（噪声监测部分）、《工业企业厂界环境噪声排放标准》（GB12348-2008）的有关规定进行监测，本次验收监测质量保证单见附件。</w:t>
            </w:r>
          </w:p>
          <w:p>
            <w:pPr>
              <w:pStyle w:val="2"/>
              <w:jc w:val="both"/>
              <w:rPr>
                <w:rFonts w:hint="default" w:ascii="Times New Roman" w:hAnsi="Times New Roman" w:eastAsia="宋体" w:cs="Times New Roman"/>
                <w:color w:val="auto"/>
                <w:sz w:val="24"/>
                <w:szCs w:val="24"/>
                <w:lang w:val="en-US" w:eastAsia="zh-CN"/>
              </w:rPr>
            </w:pPr>
          </w:p>
          <w:p>
            <w:pPr>
              <w:pStyle w:val="2"/>
              <w:jc w:val="both"/>
              <w:rPr>
                <w:rFonts w:hint="default" w:ascii="Times New Roman" w:hAnsi="Times New Roman" w:eastAsia="宋体" w:cs="Times New Roman"/>
                <w:color w:val="auto"/>
                <w:sz w:val="24"/>
                <w:szCs w:val="24"/>
                <w:lang w:val="en-US" w:eastAsia="zh-CN"/>
              </w:rPr>
            </w:pPr>
          </w:p>
          <w:p>
            <w:pPr>
              <w:pStyle w:val="2"/>
              <w:jc w:val="both"/>
              <w:rPr>
                <w:rFonts w:hint="default" w:ascii="Times New Roman" w:hAnsi="Times New Roman" w:eastAsia="宋体" w:cs="Times New Roman"/>
                <w:color w:val="auto"/>
                <w:sz w:val="24"/>
                <w:szCs w:val="24"/>
                <w:lang w:val="en-US" w:eastAsia="zh-CN"/>
              </w:rPr>
            </w:pPr>
          </w:p>
          <w:p>
            <w:pPr>
              <w:pStyle w:val="2"/>
              <w:jc w:val="both"/>
              <w:rPr>
                <w:rFonts w:hint="default" w:ascii="Times New Roman" w:hAnsi="Times New Roman" w:eastAsia="宋体" w:cs="Times New Roman"/>
                <w:color w:val="auto"/>
                <w:lang w:val="en-US" w:eastAsia="zh-CN"/>
              </w:rPr>
            </w:pPr>
          </w:p>
          <w:p>
            <w:pPr>
              <w:pStyle w:val="2"/>
              <w:jc w:val="both"/>
              <w:rPr>
                <w:rFonts w:hint="default" w:ascii="Times New Roman" w:hAnsi="Times New Roman" w:eastAsia="宋体" w:cs="Times New Roman"/>
                <w:color w:val="auto"/>
                <w:lang w:val="en-US" w:eastAsia="zh-CN"/>
              </w:rPr>
            </w:pPr>
          </w:p>
          <w:p>
            <w:pPr>
              <w:pStyle w:val="2"/>
              <w:jc w:val="both"/>
              <w:rPr>
                <w:rFonts w:hint="default" w:ascii="Times New Roman" w:hAnsi="Times New Roman" w:eastAsia="宋体" w:cs="Times New Roman"/>
                <w:color w:val="auto"/>
                <w:lang w:val="en-US" w:eastAsia="zh-CN"/>
              </w:rPr>
            </w:pPr>
          </w:p>
          <w:p>
            <w:pPr>
              <w:pStyle w:val="2"/>
              <w:jc w:val="both"/>
              <w:rPr>
                <w:rFonts w:hint="default" w:ascii="Times New Roman" w:hAnsi="Times New Roman" w:eastAsia="宋体" w:cs="Times New Roman"/>
                <w:color w:val="auto"/>
                <w:lang w:val="en-US" w:eastAsia="zh-CN"/>
              </w:rPr>
            </w:pPr>
          </w:p>
          <w:p>
            <w:pPr>
              <w:pStyle w:val="2"/>
              <w:jc w:val="both"/>
              <w:rPr>
                <w:rFonts w:hint="default" w:ascii="Times New Roman" w:hAnsi="Times New Roman" w:eastAsia="宋体" w:cs="Times New Roman"/>
                <w:color w:val="auto"/>
                <w:lang w:val="en-US" w:eastAsia="zh-CN"/>
              </w:rPr>
            </w:pPr>
          </w:p>
          <w:p>
            <w:pPr>
              <w:pStyle w:val="2"/>
              <w:jc w:val="both"/>
              <w:rPr>
                <w:rFonts w:hint="default" w:ascii="Times New Roman" w:hAnsi="Times New Roman" w:eastAsia="宋体" w:cs="Times New Roman"/>
                <w:color w:val="auto"/>
                <w:lang w:val="en-US" w:eastAsia="zh-CN"/>
              </w:rPr>
            </w:pPr>
          </w:p>
          <w:p>
            <w:pPr>
              <w:pStyle w:val="2"/>
              <w:jc w:val="both"/>
              <w:rPr>
                <w:rFonts w:hint="default" w:ascii="Times New Roman" w:hAnsi="Times New Roman" w:eastAsia="宋体" w:cs="Times New Roman"/>
                <w:color w:val="auto"/>
                <w:lang w:eastAsia="zh-CN"/>
              </w:rPr>
            </w:pPr>
          </w:p>
          <w:p>
            <w:pPr>
              <w:pStyle w:val="2"/>
              <w:jc w:val="both"/>
              <w:rPr>
                <w:rFonts w:hint="default" w:ascii="Times New Roman" w:hAnsi="Times New Roman" w:eastAsia="宋体" w:cs="Times New Roman"/>
                <w:color w:val="auto"/>
                <w:lang w:eastAsia="zh-CN"/>
              </w:rPr>
            </w:pPr>
          </w:p>
          <w:p>
            <w:pPr>
              <w:pStyle w:val="2"/>
              <w:jc w:val="both"/>
              <w:rPr>
                <w:rFonts w:hint="default" w:ascii="Times New Roman" w:hAnsi="Times New Roman" w:eastAsia="宋体" w:cs="Times New Roman"/>
                <w:color w:val="auto"/>
                <w:lang w:eastAsia="zh-CN"/>
              </w:rPr>
            </w:pPr>
          </w:p>
          <w:p>
            <w:pPr>
              <w:pStyle w:val="2"/>
              <w:jc w:val="both"/>
              <w:rPr>
                <w:rFonts w:hint="default" w:ascii="Times New Roman" w:hAnsi="Times New Roman" w:eastAsia="宋体" w:cs="Times New Roman"/>
                <w:color w:val="auto"/>
                <w:lang w:eastAsia="zh-CN"/>
              </w:rPr>
            </w:pPr>
          </w:p>
        </w:tc>
      </w:tr>
    </w:tbl>
    <w:p>
      <w:pPr>
        <w:widowControl/>
        <w:autoSpaceDE/>
        <w:autoSpaceDN/>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br w:type="page"/>
      </w:r>
    </w:p>
    <w:p>
      <w:pPr>
        <w:spacing w:line="386" w:lineRule="exact"/>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rPr>
        <w:t>表</w:t>
      </w:r>
      <w:r>
        <w:rPr>
          <w:rFonts w:hint="default" w:ascii="Times New Roman" w:hAnsi="Times New Roman" w:eastAsia="宋体" w:cs="Times New Roman"/>
          <w:b/>
          <w:color w:val="auto"/>
          <w:sz w:val="24"/>
          <w:szCs w:val="24"/>
          <w:lang w:eastAsia="zh-CN"/>
        </w:rPr>
        <w:t>六</w:t>
      </w:r>
    </w:p>
    <w:tbl>
      <w:tblPr>
        <w:tblStyle w:val="19"/>
        <w:tblW w:w="8755" w:type="dxa"/>
        <w:jc w:val="center"/>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755"/>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jc w:val="center"/>
        </w:trPr>
        <w:tc>
          <w:tcPr>
            <w:tcW w:w="8755" w:type="dxa"/>
            <w:tcBorders>
              <w:tl2br w:val="nil"/>
              <w:tr2bl w:val="nil"/>
            </w:tcBorders>
          </w:tcPr>
          <w:p>
            <w:pPr>
              <w:pStyle w:val="25"/>
              <w:spacing w:line="374" w:lineRule="exact"/>
              <w:ind w:left="107"/>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验收监测内容：</w:t>
            </w:r>
          </w:p>
          <w:p>
            <w:pPr>
              <w:autoSpaceDE/>
              <w:autoSpaceDN/>
              <w:spacing w:line="360" w:lineRule="auto"/>
              <w:ind w:firstLine="480" w:firstLineChars="200"/>
              <w:jc w:val="both"/>
              <w:rPr>
                <w:rFonts w:hint="default" w:ascii="Times New Roman" w:hAnsi="Times New Roman" w:eastAsia="宋体" w:cs="Times New Roman"/>
                <w:color w:val="auto"/>
                <w:sz w:val="24"/>
                <w:szCs w:val="24"/>
                <w:lang w:eastAsia="zh-CN" w:bidi="ar"/>
              </w:rPr>
            </w:pPr>
            <w:bookmarkStart w:id="0" w:name="_Toc850"/>
            <w:bookmarkStart w:id="1" w:name="_Toc29999"/>
            <w:r>
              <w:rPr>
                <w:rFonts w:hint="default" w:ascii="Times New Roman" w:hAnsi="Times New Roman" w:eastAsia="宋体" w:cs="Times New Roman"/>
                <w:color w:val="auto"/>
                <w:sz w:val="24"/>
                <w:szCs w:val="24"/>
                <w:lang w:eastAsia="zh-CN"/>
              </w:rPr>
              <w:t>依据环评要求及实际建设内容，确定了</w:t>
            </w:r>
            <w:r>
              <w:rPr>
                <w:rFonts w:hint="default" w:ascii="Times New Roman" w:hAnsi="Times New Roman" w:eastAsia="宋体" w:cs="Times New Roman"/>
                <w:b w:val="0"/>
                <w:bCs w:val="0"/>
                <w:color w:val="auto"/>
                <w:sz w:val="24"/>
                <w:szCs w:val="24"/>
                <w:lang w:eastAsia="zh-CN"/>
              </w:rPr>
              <w:t>本项目验收监测内容见表</w:t>
            </w:r>
            <w:r>
              <w:rPr>
                <w:rFonts w:hint="default" w:ascii="Times New Roman" w:hAnsi="Times New Roman" w:eastAsia="宋体" w:cs="Times New Roman"/>
                <w:b w:val="0"/>
                <w:bCs w:val="0"/>
                <w:color w:val="auto"/>
                <w:sz w:val="24"/>
                <w:szCs w:val="24"/>
                <w:lang w:val="en-US" w:eastAsia="zh-CN"/>
              </w:rPr>
              <w:t>13：</w:t>
            </w:r>
          </w:p>
          <w:bookmarkEnd w:id="0"/>
          <w:bookmarkEnd w:id="1"/>
          <w:p>
            <w:pPr>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表13  验收监测工作内容一览表</w:t>
            </w:r>
          </w:p>
          <w:tbl>
            <w:tblPr>
              <w:tblStyle w:val="40"/>
              <w:tblW w:w="4994"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782"/>
              <w:gridCol w:w="1466"/>
              <w:gridCol w:w="1196"/>
              <w:gridCol w:w="2372"/>
              <w:gridCol w:w="19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67" w:type="pct"/>
                  <w:tcBorders>
                    <w:tl2br w:val="nil"/>
                    <w:tr2bl w:val="nil"/>
                  </w:tcBorders>
                  <w:shd w:val="clear" w:color="auto" w:fill="D7D7D7" w:themeFill="background1" w:themeFillShade="D8"/>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2018" w:type="pct"/>
                  <w:gridSpan w:val="3"/>
                  <w:tcBorders>
                    <w:tl2br w:val="nil"/>
                    <w:tr2bl w:val="nil"/>
                  </w:tcBorders>
                  <w:shd w:val="clear" w:color="auto" w:fill="D7D7D7" w:themeFill="background1" w:themeFillShade="D8"/>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监测布点</w:t>
                  </w:r>
                </w:p>
              </w:tc>
              <w:tc>
                <w:tcPr>
                  <w:tcW w:w="1390" w:type="pct"/>
                  <w:tcBorders>
                    <w:tl2br w:val="nil"/>
                    <w:tr2bl w:val="nil"/>
                  </w:tcBorders>
                  <w:shd w:val="clear" w:color="auto" w:fill="D7D7D7" w:themeFill="background1" w:themeFillShade="D8"/>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监测因子</w:t>
                  </w:r>
                </w:p>
              </w:tc>
              <w:tc>
                <w:tcPr>
                  <w:tcW w:w="1123" w:type="pct"/>
                  <w:tcBorders>
                    <w:tl2br w:val="nil"/>
                    <w:tr2bl w:val="nil"/>
                  </w:tcBorders>
                  <w:shd w:val="clear" w:color="auto" w:fill="D7D7D7" w:themeFill="background1" w:themeFillShade="D8"/>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8" w:hRule="atLeast"/>
              </w:trPr>
              <w:tc>
                <w:tcPr>
                  <w:tcW w:w="467" w:type="pct"/>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废水</w:t>
                  </w:r>
                </w:p>
              </w:tc>
              <w:tc>
                <w:tcPr>
                  <w:tcW w:w="1317" w:type="pct"/>
                  <w:gridSpan w:val="2"/>
                  <w:tcBorders>
                    <w:tl2br w:val="nil"/>
                    <w:tr2bl w:val="nil"/>
                  </w:tcBorders>
                  <w:vAlign w:val="center"/>
                </w:tcPr>
                <w:p>
                  <w:pPr>
                    <w:pStyle w:val="21"/>
                    <w:keepNext w:val="0"/>
                    <w:keepLines w:val="0"/>
                    <w:widowControl w:val="0"/>
                    <w:suppressLineNumbers w:val="0"/>
                    <w:bidi w:val="0"/>
                    <w:spacing w:before="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lang w:val="en-US" w:eastAsia="zh-CN"/>
                    </w:rPr>
                    <w:t>污水总排放口</w:t>
                  </w:r>
                </w:p>
              </w:tc>
              <w:tc>
                <w:tcPr>
                  <w:tcW w:w="701" w:type="pct"/>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w:t>
                  </w:r>
                  <w:r>
                    <w:rPr>
                      <w:rFonts w:hint="eastAsia" w:cs="Times New Roman"/>
                      <w:color w:val="auto"/>
                      <w:sz w:val="21"/>
                      <w:szCs w:val="21"/>
                      <w:vertAlign w:val="subscript"/>
                      <w:lang w:val="en-US" w:eastAsia="zh-CN"/>
                    </w:rPr>
                    <w:t>1</w:t>
                  </w:r>
                </w:p>
              </w:tc>
              <w:tc>
                <w:tcPr>
                  <w:tcW w:w="1390" w:type="pct"/>
                  <w:tcBorders>
                    <w:tl2br w:val="nil"/>
                    <w:tr2bl w:val="nil"/>
                  </w:tcBorders>
                  <w:vAlign w:val="center"/>
                </w:tcPr>
                <w:p>
                  <w:pPr>
                    <w:pStyle w:val="21"/>
                    <w:keepNext w:val="0"/>
                    <w:keepLines w:val="0"/>
                    <w:widowControl w:val="0"/>
                    <w:suppressLineNumbers w:val="0"/>
                    <w:bidi w:val="0"/>
                    <w:spacing w:before="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lang w:val="en-US" w:eastAsia="zh-CN"/>
                    </w:rPr>
                    <w:t>pH值、悬浮物、COD</w:t>
                  </w:r>
                  <w:r>
                    <w:rPr>
                      <w:rFonts w:hint="default" w:ascii="Times New Roman" w:hAnsi="Times New Roman" w:eastAsia="宋体" w:cs="Times New Roman"/>
                      <w:color w:val="auto"/>
                      <w:vertAlign w:val="subscript"/>
                      <w:lang w:val="en-US" w:eastAsia="zh-CN"/>
                    </w:rPr>
                    <w:t>C</w:t>
                  </w:r>
                  <w:r>
                    <w:rPr>
                      <w:rFonts w:hint="default" w:ascii="Times New Roman" w:hAnsi="Times New Roman" w:eastAsia="宋体" w:cs="Times New Roman"/>
                      <w:color w:val="auto"/>
                      <w:lang w:val="en-US" w:eastAsia="zh-CN"/>
                    </w:rPr>
                    <w:t>r、BOD</w:t>
                  </w:r>
                  <w:r>
                    <w:rPr>
                      <w:rFonts w:hint="default" w:ascii="Times New Roman" w:hAnsi="Times New Roman" w:eastAsia="宋体" w:cs="Times New Roman"/>
                      <w:color w:val="auto"/>
                      <w:vertAlign w:val="subscript"/>
                      <w:lang w:val="en-US" w:eastAsia="zh-CN"/>
                    </w:rPr>
                    <w:t>5</w:t>
                  </w:r>
                  <w:r>
                    <w:rPr>
                      <w:rFonts w:hint="default" w:ascii="Times New Roman" w:hAnsi="Times New Roman" w:eastAsia="宋体" w:cs="Times New Roman"/>
                      <w:color w:val="auto"/>
                      <w:lang w:val="en-US" w:eastAsia="zh-CN"/>
                    </w:rPr>
                    <w:t>、氨氮、总磷、总氮、总有机碳</w:t>
                  </w:r>
                </w:p>
              </w:tc>
              <w:tc>
                <w:tcPr>
                  <w:tcW w:w="1123" w:type="pct"/>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监测2天，每天4次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467" w:type="pct"/>
                  <w:vMerge w:val="restart"/>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458" w:type="pct"/>
                  <w:vMerge w:val="restart"/>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有组织废气</w:t>
                  </w:r>
                </w:p>
              </w:tc>
              <w:tc>
                <w:tcPr>
                  <w:tcW w:w="859" w:type="pct"/>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车间废气排放口</w:t>
                  </w:r>
                </w:p>
              </w:tc>
              <w:tc>
                <w:tcPr>
                  <w:tcW w:w="701" w:type="pct"/>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Q</w:t>
                  </w:r>
                  <w:r>
                    <w:rPr>
                      <w:rFonts w:hint="default" w:ascii="Times New Roman" w:hAnsi="Times New Roman" w:eastAsia="宋体" w:cs="Times New Roman"/>
                      <w:color w:val="auto"/>
                      <w:sz w:val="21"/>
                      <w:szCs w:val="21"/>
                      <w:vertAlign w:val="subscript"/>
                      <w:lang w:val="en-US" w:eastAsia="zh-CN"/>
                    </w:rPr>
                    <w:t>1</w:t>
                  </w:r>
                </w:p>
              </w:tc>
              <w:tc>
                <w:tcPr>
                  <w:tcW w:w="1390" w:type="pct"/>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1123" w:type="pct"/>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监测2天，每天3次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467" w:type="pct"/>
                  <w:vMerge w:val="continue"/>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cs="Times New Roman"/>
                      <w:color w:val="auto"/>
                      <w:sz w:val="21"/>
                      <w:szCs w:val="21"/>
                    </w:rPr>
                  </w:pPr>
                </w:p>
              </w:tc>
              <w:tc>
                <w:tcPr>
                  <w:tcW w:w="458" w:type="pct"/>
                  <w:vMerge w:val="continue"/>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cs="Times New Roman"/>
                      <w:color w:val="auto"/>
                      <w:sz w:val="21"/>
                      <w:szCs w:val="21"/>
                      <w:lang w:val="en-US" w:eastAsia="zh-CN"/>
                    </w:rPr>
                  </w:pPr>
                </w:p>
              </w:tc>
              <w:tc>
                <w:tcPr>
                  <w:tcW w:w="859" w:type="pct"/>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锅炉废气排放口</w:t>
                  </w:r>
                </w:p>
              </w:tc>
              <w:tc>
                <w:tcPr>
                  <w:tcW w:w="701" w:type="pct"/>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Q</w:t>
                  </w:r>
                  <w:r>
                    <w:rPr>
                      <w:rFonts w:hint="default" w:ascii="Times New Roman" w:hAnsi="Times New Roman" w:eastAsia="宋体" w:cs="Times New Roman"/>
                      <w:color w:val="auto"/>
                      <w:sz w:val="21"/>
                      <w:szCs w:val="21"/>
                      <w:vertAlign w:val="subscript"/>
                      <w:lang w:val="en-US" w:eastAsia="zh-CN"/>
                    </w:rPr>
                    <w:t>2</w:t>
                  </w:r>
                </w:p>
              </w:tc>
              <w:tc>
                <w:tcPr>
                  <w:tcW w:w="1390" w:type="pct"/>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颗粒物、SO</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、NOx</w:t>
                  </w:r>
                </w:p>
              </w:tc>
              <w:tc>
                <w:tcPr>
                  <w:tcW w:w="1123" w:type="pct"/>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监测2天，每天3次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467" w:type="pct"/>
                  <w:vMerge w:val="continue"/>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cs="Times New Roman"/>
                      <w:color w:val="auto"/>
                      <w:sz w:val="21"/>
                      <w:szCs w:val="21"/>
                    </w:rPr>
                  </w:pPr>
                </w:p>
              </w:tc>
              <w:tc>
                <w:tcPr>
                  <w:tcW w:w="458" w:type="pct"/>
                  <w:tcBorders>
                    <w:tl2br w:val="nil"/>
                    <w:tr2bl w:val="nil"/>
                  </w:tcBorders>
                  <w:vAlign w:val="center"/>
                </w:tcPr>
                <w:p>
                  <w:pPr>
                    <w:pStyle w:val="21"/>
                    <w:keepNext w:val="0"/>
                    <w:keepLines w:val="0"/>
                    <w:widowControl w:val="0"/>
                    <w:suppressLineNumbers w:val="0"/>
                    <w:bidi w:val="0"/>
                    <w:spacing w:before="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无组织</w:t>
                  </w:r>
                  <w:r>
                    <w:rPr>
                      <w:rFonts w:hint="default" w:ascii="Times New Roman" w:hAnsi="Times New Roman" w:eastAsia="宋体" w:cs="Times New Roman"/>
                      <w:color w:val="auto"/>
                      <w:sz w:val="21"/>
                      <w:szCs w:val="21"/>
                      <w:lang w:val="en-US" w:eastAsia="zh-CN"/>
                    </w:rPr>
                    <w:t>废气</w:t>
                  </w:r>
                </w:p>
              </w:tc>
              <w:tc>
                <w:tcPr>
                  <w:tcW w:w="859" w:type="pct"/>
                  <w:tcBorders>
                    <w:tl2br w:val="nil"/>
                    <w:tr2bl w:val="nil"/>
                  </w:tcBorders>
                  <w:vAlign w:val="center"/>
                </w:tcPr>
                <w:p>
                  <w:pPr>
                    <w:pStyle w:val="21"/>
                    <w:keepNext w:val="0"/>
                    <w:keepLines w:val="0"/>
                    <w:widowControl w:val="0"/>
                    <w:suppressLineNumbers w:val="0"/>
                    <w:bidi w:val="0"/>
                    <w:spacing w:before="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厂界下风向侧</w:t>
                  </w:r>
                </w:p>
              </w:tc>
              <w:tc>
                <w:tcPr>
                  <w:tcW w:w="701" w:type="pct"/>
                  <w:tcBorders>
                    <w:tl2br w:val="nil"/>
                    <w:tr2bl w:val="nil"/>
                  </w:tcBorders>
                  <w:vAlign w:val="center"/>
                </w:tcPr>
                <w:p>
                  <w:pPr>
                    <w:pStyle w:val="21"/>
                    <w:keepNext w:val="0"/>
                    <w:keepLines w:val="0"/>
                    <w:widowControl w:val="0"/>
                    <w:suppressLineNumbers w:val="0"/>
                    <w:bidi w:val="0"/>
                    <w:spacing w:before="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Q</w:t>
                  </w:r>
                  <w:r>
                    <w:rPr>
                      <w:rFonts w:hint="default" w:ascii="Times New Roman" w:hAnsi="Times New Roman" w:eastAsia="宋体" w:cs="Times New Roman"/>
                      <w:color w:val="auto"/>
                      <w:sz w:val="21"/>
                      <w:szCs w:val="21"/>
                      <w:vertAlign w:val="subscript"/>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Q</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、Q</w:t>
                  </w:r>
                  <w:r>
                    <w:rPr>
                      <w:rFonts w:hint="default" w:ascii="Times New Roman" w:hAnsi="Times New Roman" w:eastAsia="宋体" w:cs="Times New Roman"/>
                      <w:color w:val="auto"/>
                      <w:sz w:val="21"/>
                      <w:szCs w:val="21"/>
                      <w:vertAlign w:val="subscript"/>
                      <w:lang w:val="en-US" w:eastAsia="zh-CN"/>
                    </w:rPr>
                    <w:t>3</w:t>
                  </w:r>
                </w:p>
              </w:tc>
              <w:tc>
                <w:tcPr>
                  <w:tcW w:w="1390" w:type="pct"/>
                  <w:tcBorders>
                    <w:tl2br w:val="nil"/>
                    <w:tr2bl w:val="nil"/>
                  </w:tcBorders>
                  <w:vAlign w:val="center"/>
                </w:tcPr>
                <w:p>
                  <w:pPr>
                    <w:pStyle w:val="21"/>
                    <w:keepNext w:val="0"/>
                    <w:keepLines w:val="0"/>
                    <w:widowControl w:val="0"/>
                    <w:suppressLineNumbers w:val="0"/>
                    <w:bidi w:val="0"/>
                    <w:spacing w:before="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颗粒物、</w:t>
                  </w:r>
                </w:p>
              </w:tc>
              <w:tc>
                <w:tcPr>
                  <w:tcW w:w="1123" w:type="pct"/>
                  <w:tcBorders>
                    <w:tl2br w:val="nil"/>
                    <w:tr2bl w:val="nil"/>
                  </w:tcBorders>
                  <w:vAlign w:val="center"/>
                </w:tcPr>
                <w:p>
                  <w:pPr>
                    <w:pStyle w:val="21"/>
                    <w:keepNext w:val="0"/>
                    <w:keepLines w:val="0"/>
                    <w:widowControl w:val="0"/>
                    <w:suppressLineNumbers w:val="0"/>
                    <w:bidi w:val="0"/>
                    <w:spacing w:before="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监测2天，每2小时采一次，每天共采四次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7" w:type="pct"/>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317" w:type="pct"/>
                  <w:gridSpan w:val="2"/>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厂界四周</w:t>
                  </w:r>
                  <w:r>
                    <w:rPr>
                      <w:rFonts w:hint="default" w:ascii="Times New Roman" w:hAnsi="Times New Roman" w:eastAsia="宋体" w:cs="Times New Roman"/>
                      <w:color w:val="auto"/>
                      <w:sz w:val="21"/>
                      <w:szCs w:val="21"/>
                    </w:rPr>
                    <w:t>，共4个点</w:t>
                  </w:r>
                </w:p>
              </w:tc>
              <w:tc>
                <w:tcPr>
                  <w:tcW w:w="701" w:type="pct"/>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w:t>
                  </w:r>
                  <w:r>
                    <w:rPr>
                      <w:rFonts w:hint="default" w:ascii="Times New Roman" w:hAnsi="Times New Roman" w:eastAsia="宋体" w:cs="Times New Roman"/>
                      <w:color w:val="auto"/>
                      <w:sz w:val="21"/>
                      <w:szCs w:val="21"/>
                      <w:vertAlign w:val="subscript"/>
                    </w:rPr>
                    <w:t>1</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N</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N</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N</w:t>
                  </w:r>
                  <w:r>
                    <w:rPr>
                      <w:rFonts w:hint="default" w:ascii="Times New Roman" w:hAnsi="Times New Roman" w:eastAsia="宋体" w:cs="Times New Roman"/>
                      <w:color w:val="auto"/>
                      <w:sz w:val="21"/>
                      <w:szCs w:val="21"/>
                      <w:vertAlign w:val="subscript"/>
                    </w:rPr>
                    <w:t>4</w:t>
                  </w:r>
                </w:p>
              </w:tc>
              <w:tc>
                <w:tcPr>
                  <w:tcW w:w="1390" w:type="pct"/>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等效连续A声级</w:t>
                  </w:r>
                </w:p>
              </w:tc>
              <w:tc>
                <w:tcPr>
                  <w:tcW w:w="1123" w:type="pct"/>
                  <w:tcBorders>
                    <w:tl2br w:val="nil"/>
                    <w:tr2bl w:val="nil"/>
                  </w:tcBorders>
                  <w:vAlign w:val="center"/>
                </w:tcPr>
                <w:p>
                  <w:pPr>
                    <w:pStyle w:val="21"/>
                    <w:keepNext w:val="0"/>
                    <w:keepLines w:val="0"/>
                    <w:widowControl w:val="0"/>
                    <w:suppressLineNumbers w:val="0"/>
                    <w:bidi w:val="0"/>
                    <w:spacing w:before="0" w:after="0" w:afterAutospacing="0"/>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监测2天，昼夜各1次</w:t>
                  </w:r>
                </w:p>
              </w:tc>
            </w:tr>
          </w:tbl>
          <w:p>
            <w:pPr>
              <w:pStyle w:val="25"/>
              <w:spacing w:before="7" w:line="360" w:lineRule="auto"/>
              <w:ind w:left="107" w:right="164" w:firstLine="480"/>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b w:val="0"/>
                <w:bCs/>
                <w:color w:val="auto"/>
                <w:sz w:val="24"/>
                <w:szCs w:val="24"/>
                <w:u w:val="none" w:color="auto"/>
                <w:lang w:eastAsia="zh-CN"/>
              </w:rPr>
              <w:t>本项目验收</w:t>
            </w:r>
            <w:r>
              <w:rPr>
                <w:rFonts w:hint="default" w:ascii="Times New Roman" w:hAnsi="Times New Roman" w:eastAsia="宋体" w:cs="Times New Roman"/>
                <w:b w:val="0"/>
                <w:bCs/>
                <w:color w:val="auto"/>
                <w:sz w:val="24"/>
                <w:szCs w:val="24"/>
                <w:u w:val="none" w:color="auto"/>
              </w:rPr>
              <w:t>监测分析方法</w:t>
            </w:r>
            <w:r>
              <w:rPr>
                <w:rFonts w:hint="default" w:ascii="Times New Roman" w:hAnsi="Times New Roman" w:eastAsia="宋体" w:cs="Times New Roman"/>
                <w:b w:val="0"/>
                <w:bCs/>
                <w:color w:val="auto"/>
                <w:sz w:val="24"/>
                <w:szCs w:val="24"/>
                <w:u w:val="none" w:color="auto"/>
                <w:lang w:eastAsia="zh-CN"/>
              </w:rPr>
              <w:t>：</w:t>
            </w:r>
          </w:p>
          <w:p>
            <w:pPr>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表14  监测分析方法</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4"/>
              <w:gridCol w:w="735"/>
              <w:gridCol w:w="1061"/>
              <w:gridCol w:w="3083"/>
              <w:gridCol w:w="1815"/>
              <w:gridCol w:w="14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54" w:type="pct"/>
                  <w:tcBorders>
                    <w:tl2br w:val="nil"/>
                    <w:tr2bl w:val="nil"/>
                  </w:tcBorders>
                  <w:shd w:val="clear" w:color="auto" w:fill="D7D7D7"/>
                  <w:noWrap w:val="0"/>
                  <w:vAlign w:val="center"/>
                </w:tcPr>
                <w:p>
                  <w:pPr>
                    <w:pStyle w:val="26"/>
                    <w:keepNext w:val="0"/>
                    <w:keepLines w:val="0"/>
                    <w:pageBreakBefore w:val="0"/>
                    <w:kinsoku/>
                    <w:wordWrap/>
                    <w:overflowPunct/>
                    <w:topLinePunct w:val="0"/>
                    <w:bidi w:val="0"/>
                    <w:snapToGrid/>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1051" w:type="pct"/>
                  <w:gridSpan w:val="2"/>
                  <w:tcBorders>
                    <w:tl2br w:val="nil"/>
                    <w:tr2bl w:val="nil"/>
                  </w:tcBorders>
                  <w:shd w:val="clear" w:color="auto" w:fill="D7D7D7"/>
                  <w:noWrap w:val="0"/>
                  <w:vAlign w:val="center"/>
                </w:tcPr>
                <w:p>
                  <w:pPr>
                    <w:pStyle w:val="26"/>
                    <w:keepNext w:val="0"/>
                    <w:keepLines w:val="0"/>
                    <w:pageBreakBefore w:val="0"/>
                    <w:kinsoku/>
                    <w:wordWrap/>
                    <w:overflowPunct/>
                    <w:topLinePunct w:val="0"/>
                    <w:bidi w:val="0"/>
                    <w:snapToGrid/>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监测项目</w:t>
                  </w:r>
                </w:p>
              </w:tc>
              <w:tc>
                <w:tcPr>
                  <w:tcW w:w="1804" w:type="pct"/>
                  <w:tcBorders>
                    <w:tl2br w:val="nil"/>
                    <w:tr2bl w:val="nil"/>
                  </w:tcBorders>
                  <w:shd w:val="clear" w:color="auto" w:fill="D7D7D7"/>
                  <w:noWrap w:val="0"/>
                  <w:vAlign w:val="center"/>
                </w:tcPr>
                <w:p>
                  <w:pPr>
                    <w:pStyle w:val="26"/>
                    <w:keepNext w:val="0"/>
                    <w:keepLines w:val="0"/>
                    <w:pageBreakBefore w:val="0"/>
                    <w:kinsoku/>
                    <w:wordWrap/>
                    <w:overflowPunct/>
                    <w:topLinePunct w:val="0"/>
                    <w:bidi w:val="0"/>
                    <w:snapToGrid/>
                    <w:spacing w:line="240" w:lineRule="auto"/>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rPr>
                    <w:t>检测</w:t>
                  </w:r>
                  <w:r>
                    <w:rPr>
                      <w:rFonts w:hint="default" w:ascii="Times New Roman" w:hAnsi="Times New Roman" w:eastAsia="宋体" w:cs="Times New Roman"/>
                      <w:b/>
                      <w:bCs/>
                      <w:color w:val="auto"/>
                      <w:kern w:val="0"/>
                      <w:sz w:val="21"/>
                      <w:szCs w:val="21"/>
                      <w:highlight w:val="none"/>
                      <w:lang w:eastAsia="zh-CN"/>
                    </w:rPr>
                    <w:t>标准</w:t>
                  </w:r>
                  <w:r>
                    <w:rPr>
                      <w:rFonts w:hint="default" w:ascii="Times New Roman" w:hAnsi="Times New Roman" w:eastAsia="宋体" w:cs="Times New Roman"/>
                      <w:b/>
                      <w:bCs/>
                      <w:color w:val="auto"/>
                      <w:kern w:val="0"/>
                      <w:sz w:val="21"/>
                      <w:szCs w:val="21"/>
                      <w:highlight w:val="none"/>
                    </w:rPr>
                    <w:t>方法</w:t>
                  </w:r>
                  <w:r>
                    <w:rPr>
                      <w:rFonts w:hint="default" w:ascii="Times New Roman" w:hAnsi="Times New Roman" w:eastAsia="宋体" w:cs="Times New Roman"/>
                      <w:b/>
                      <w:bCs/>
                      <w:color w:val="auto"/>
                      <w:kern w:val="0"/>
                      <w:sz w:val="21"/>
                      <w:szCs w:val="21"/>
                      <w:highlight w:val="none"/>
                      <w:lang w:eastAsia="zh-CN"/>
                    </w:rPr>
                    <w:t>名称及编号</w:t>
                  </w:r>
                </w:p>
                <w:p>
                  <w:pPr>
                    <w:pStyle w:val="26"/>
                    <w:keepNext w:val="0"/>
                    <w:keepLines w:val="0"/>
                    <w:pageBreakBefore w:val="0"/>
                    <w:kinsoku/>
                    <w:wordWrap/>
                    <w:overflowPunct/>
                    <w:topLinePunct w:val="0"/>
                    <w:bidi w:val="0"/>
                    <w:snapToGrid/>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highlight w:val="none"/>
                      <w:lang w:eastAsia="zh-CN"/>
                    </w:rPr>
                    <w:t>（含年号）</w:t>
                  </w:r>
                </w:p>
              </w:tc>
              <w:tc>
                <w:tcPr>
                  <w:tcW w:w="1062" w:type="pct"/>
                  <w:tcBorders>
                    <w:tl2br w:val="nil"/>
                    <w:tr2bl w:val="nil"/>
                  </w:tcBorders>
                  <w:shd w:val="clear" w:color="auto" w:fill="D7D7D7"/>
                  <w:noWrap w:val="0"/>
                  <w:vAlign w:val="center"/>
                </w:tcPr>
                <w:p>
                  <w:pPr>
                    <w:pStyle w:val="26"/>
                    <w:keepNext w:val="0"/>
                    <w:keepLines w:val="0"/>
                    <w:pageBreakBefore w:val="0"/>
                    <w:kinsoku/>
                    <w:wordWrap/>
                    <w:overflowPunct/>
                    <w:topLinePunct w:val="0"/>
                    <w:bidi w:val="0"/>
                    <w:snapToGrid/>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使用仪器</w:t>
                  </w:r>
                </w:p>
              </w:tc>
              <w:tc>
                <w:tcPr>
                  <w:tcW w:w="826" w:type="pct"/>
                  <w:tcBorders>
                    <w:tl2br w:val="nil"/>
                    <w:tr2bl w:val="nil"/>
                  </w:tcBorders>
                  <w:shd w:val="clear" w:color="auto" w:fill="D7D7D7"/>
                  <w:noWrap w:val="0"/>
                  <w:vAlign w:val="center"/>
                </w:tcPr>
                <w:p>
                  <w:pPr>
                    <w:pStyle w:val="26"/>
                    <w:keepNext w:val="0"/>
                    <w:keepLines w:val="0"/>
                    <w:pageBreakBefore w:val="0"/>
                    <w:kinsoku/>
                    <w:wordWrap/>
                    <w:overflowPunct/>
                    <w:topLinePunct w:val="0"/>
                    <w:bidi w:val="0"/>
                    <w:snapToGrid/>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最低检出限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254" w:type="pct"/>
                  <w:vMerge w:val="restart"/>
                  <w:tcBorders>
                    <w:tl2br w:val="nil"/>
                    <w:tr2bl w:val="nil"/>
                  </w:tcBorders>
                  <w:noWrap w:val="0"/>
                  <w:vAlign w:val="center"/>
                </w:tcPr>
                <w:p>
                  <w:pPr>
                    <w:pStyle w:val="26"/>
                    <w:keepNext w:val="0"/>
                    <w:keepLines w:val="0"/>
                    <w:pageBreakBefore w:val="0"/>
                    <w:kinsoku/>
                    <w:wordWrap/>
                    <w:overflowPunct/>
                    <w:topLinePunct w:val="0"/>
                    <w:bidi w:val="0"/>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430" w:type="pct"/>
                  <w:vMerge w:val="restart"/>
                  <w:tcBorders>
                    <w:tl2br w:val="nil"/>
                    <w:tr2bl w:val="nil"/>
                  </w:tcBorders>
                  <w:noWrap w:val="0"/>
                  <w:vAlign w:val="center"/>
                </w:tcPr>
                <w:p>
                  <w:pPr>
                    <w:pStyle w:val="26"/>
                    <w:keepNext w:val="0"/>
                    <w:keepLines w:val="0"/>
                    <w:pageBreakBefore w:val="0"/>
                    <w:kinsoku/>
                    <w:wordWrap/>
                    <w:overflowPunct/>
                    <w:topLinePunct w:val="0"/>
                    <w:bidi w:val="0"/>
                    <w:snapToGrid/>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有组织废气</w:t>
                  </w:r>
                </w:p>
              </w:tc>
              <w:tc>
                <w:tcPr>
                  <w:tcW w:w="621" w:type="pct"/>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颗粒物</w:t>
                  </w:r>
                </w:p>
              </w:tc>
              <w:tc>
                <w:tcPr>
                  <w:tcW w:w="1804"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en-US" w:bidi="ar-SA"/>
                    </w:rPr>
                  </w:pPr>
                  <w:r>
                    <w:rPr>
                      <w:rFonts w:hint="default" w:ascii="Times New Roman" w:hAnsi="Times New Roman" w:eastAsia="宋体" w:cs="Times New Roman"/>
                      <w:color w:val="auto"/>
                      <w:kern w:val="2"/>
                      <w:sz w:val="21"/>
                      <w:szCs w:val="21"/>
                      <w:vertAlign w:val="baseline"/>
                      <w:lang w:val="en-US" w:eastAsia="zh-CN" w:bidi="ar-SA"/>
                    </w:rPr>
                    <w:t>《固定污染源废气低浓度颗粒物的测定重量法》HJ 836-2017</w:t>
                  </w:r>
                </w:p>
              </w:tc>
              <w:tc>
                <w:tcPr>
                  <w:tcW w:w="1062"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pacing w:val="-2"/>
                      <w:kern w:val="2"/>
                      <w:sz w:val="21"/>
                      <w:szCs w:val="21"/>
                      <w:lang w:val="en-US" w:eastAsia="zh-CN"/>
                    </w:rPr>
                    <w:t>分析天平/LE204E</w:t>
                  </w:r>
                </w:p>
              </w:tc>
              <w:tc>
                <w:tcPr>
                  <w:tcW w:w="826"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1</w:t>
                  </w:r>
                  <w:r>
                    <w:rPr>
                      <w:rFonts w:hint="default" w:ascii="Times New Roman" w:hAnsi="Times New Roman" w:eastAsia="宋体" w:cs="Times New Roman"/>
                      <w:color w:val="auto"/>
                      <w:kern w:val="2"/>
                      <w:sz w:val="21"/>
                      <w:szCs w:val="21"/>
                      <w:vertAlign w:val="baseline"/>
                      <w:lang w:val="en-US" w:eastAsia="zh-CN" w:bidi="ar-SA"/>
                    </w:rPr>
                    <w:t>mg/m</w:t>
                  </w:r>
                  <w:r>
                    <w:rPr>
                      <w:rFonts w:hint="default" w:ascii="Times New Roman" w:hAnsi="Times New Roman" w:eastAsia="宋体" w:cs="Times New Roman"/>
                      <w:color w:val="auto"/>
                      <w:kern w:val="2"/>
                      <w:sz w:val="21"/>
                      <w:szCs w:val="21"/>
                      <w:vertAlign w:val="superscript"/>
                      <w:lang w:val="en-US" w:eastAsia="zh-CN" w:bidi="ar-SA"/>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254" w:type="pct"/>
                  <w:vMerge w:val="continue"/>
                  <w:tcBorders>
                    <w:tl2br w:val="nil"/>
                    <w:tr2bl w:val="nil"/>
                  </w:tcBorders>
                  <w:noWrap w:val="0"/>
                  <w:vAlign w:val="center"/>
                </w:tcPr>
                <w:p>
                  <w:pPr>
                    <w:pStyle w:val="26"/>
                    <w:keepNext w:val="0"/>
                    <w:keepLines w:val="0"/>
                    <w:pageBreakBefore w:val="0"/>
                    <w:kinsoku/>
                    <w:wordWrap/>
                    <w:overflowPunct/>
                    <w:topLinePunct w:val="0"/>
                    <w:bidi w:val="0"/>
                    <w:snapToGrid/>
                    <w:spacing w:line="240" w:lineRule="auto"/>
                    <w:rPr>
                      <w:rFonts w:hint="default" w:ascii="Times New Roman" w:hAnsi="Times New Roman" w:eastAsia="宋体" w:cs="Times New Roman"/>
                      <w:color w:val="auto"/>
                      <w:sz w:val="21"/>
                      <w:szCs w:val="21"/>
                    </w:rPr>
                  </w:pPr>
                </w:p>
              </w:tc>
              <w:tc>
                <w:tcPr>
                  <w:tcW w:w="430" w:type="pct"/>
                  <w:vMerge w:val="continue"/>
                  <w:tcBorders>
                    <w:tl2br w:val="nil"/>
                    <w:tr2bl w:val="nil"/>
                  </w:tcBorders>
                  <w:noWrap w:val="0"/>
                  <w:vAlign w:val="center"/>
                </w:tcPr>
                <w:p>
                  <w:pPr>
                    <w:pStyle w:val="26"/>
                    <w:keepNext w:val="0"/>
                    <w:keepLines w:val="0"/>
                    <w:pageBreakBefore w:val="0"/>
                    <w:kinsoku/>
                    <w:wordWrap/>
                    <w:overflowPunct/>
                    <w:topLinePunct w:val="0"/>
                    <w:bidi w:val="0"/>
                    <w:snapToGrid/>
                    <w:spacing w:line="240" w:lineRule="auto"/>
                    <w:rPr>
                      <w:rFonts w:hint="default" w:ascii="Times New Roman" w:hAnsi="Times New Roman" w:eastAsia="宋体" w:cs="Times New Roman"/>
                      <w:color w:val="auto"/>
                      <w:sz w:val="21"/>
                      <w:szCs w:val="21"/>
                      <w:lang w:eastAsia="zh-CN"/>
                    </w:rPr>
                  </w:pPr>
                </w:p>
              </w:tc>
              <w:tc>
                <w:tcPr>
                  <w:tcW w:w="621"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pacing w:val="-2"/>
                      <w:kern w:val="2"/>
                      <w:sz w:val="21"/>
                      <w:szCs w:val="21"/>
                      <w:lang w:val="en-US" w:eastAsia="zh-CN"/>
                    </w:rPr>
                    <w:t>二氧化硫</w:t>
                  </w:r>
                </w:p>
              </w:tc>
              <w:tc>
                <w:tcPr>
                  <w:tcW w:w="1804"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en-US" w:bidi="ar-SA"/>
                    </w:rPr>
                  </w:pPr>
                  <w:r>
                    <w:rPr>
                      <w:rFonts w:hint="default" w:ascii="Times New Roman" w:hAnsi="Times New Roman" w:eastAsia="宋体" w:cs="Times New Roman"/>
                      <w:color w:val="auto"/>
                      <w:spacing w:val="-2"/>
                      <w:kern w:val="2"/>
                      <w:sz w:val="21"/>
                      <w:szCs w:val="21"/>
                      <w:lang w:val="en-US" w:eastAsia="zh-CN"/>
                    </w:rPr>
                    <w:t>《固定污染源废气 二氧化硫的测定 定电位电解法》HJ57-2017</w:t>
                  </w:r>
                </w:p>
              </w:tc>
              <w:tc>
                <w:tcPr>
                  <w:tcW w:w="1062"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pacing w:val="-2"/>
                      <w:kern w:val="2"/>
                      <w:sz w:val="21"/>
                      <w:szCs w:val="21"/>
                      <w:lang w:val="en-US" w:eastAsia="zh-CN"/>
                    </w:rPr>
                    <w:t>崂应3012H型烟尘测量仪</w:t>
                  </w:r>
                </w:p>
              </w:tc>
              <w:tc>
                <w:tcPr>
                  <w:tcW w:w="826"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pacing w:val="-2"/>
                      <w:kern w:val="2"/>
                      <w:sz w:val="21"/>
                      <w:szCs w:val="21"/>
                      <w:lang w:val="en-US" w:eastAsia="zh-CN"/>
                    </w:rPr>
                    <w:t>3mg/m</w:t>
                  </w:r>
                  <w:r>
                    <w:rPr>
                      <w:rFonts w:hint="default" w:ascii="Times New Roman" w:hAnsi="Times New Roman" w:eastAsia="宋体" w:cs="Times New Roman"/>
                      <w:color w:val="auto"/>
                      <w:spacing w:val="-2"/>
                      <w:kern w:val="2"/>
                      <w:sz w:val="21"/>
                      <w:szCs w:val="21"/>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254" w:type="pct"/>
                  <w:vMerge w:val="continue"/>
                  <w:tcBorders>
                    <w:tl2br w:val="nil"/>
                    <w:tr2bl w:val="nil"/>
                  </w:tcBorders>
                  <w:noWrap w:val="0"/>
                  <w:vAlign w:val="center"/>
                </w:tcPr>
                <w:p>
                  <w:pPr>
                    <w:pStyle w:val="26"/>
                    <w:keepNext w:val="0"/>
                    <w:keepLines w:val="0"/>
                    <w:pageBreakBefore w:val="0"/>
                    <w:kinsoku/>
                    <w:wordWrap/>
                    <w:overflowPunct/>
                    <w:topLinePunct w:val="0"/>
                    <w:bidi w:val="0"/>
                    <w:snapToGrid/>
                    <w:spacing w:line="240" w:lineRule="auto"/>
                    <w:rPr>
                      <w:rFonts w:hint="default" w:ascii="Times New Roman" w:hAnsi="Times New Roman" w:eastAsia="宋体" w:cs="Times New Roman"/>
                      <w:color w:val="auto"/>
                      <w:sz w:val="21"/>
                      <w:szCs w:val="21"/>
                    </w:rPr>
                  </w:pPr>
                </w:p>
              </w:tc>
              <w:tc>
                <w:tcPr>
                  <w:tcW w:w="430" w:type="pct"/>
                  <w:vMerge w:val="continue"/>
                  <w:tcBorders>
                    <w:tl2br w:val="nil"/>
                    <w:tr2bl w:val="nil"/>
                  </w:tcBorders>
                  <w:noWrap w:val="0"/>
                  <w:vAlign w:val="center"/>
                </w:tcPr>
                <w:p>
                  <w:pPr>
                    <w:pStyle w:val="26"/>
                    <w:keepNext w:val="0"/>
                    <w:keepLines w:val="0"/>
                    <w:pageBreakBefore w:val="0"/>
                    <w:kinsoku/>
                    <w:wordWrap/>
                    <w:overflowPunct/>
                    <w:topLinePunct w:val="0"/>
                    <w:bidi w:val="0"/>
                    <w:snapToGrid/>
                    <w:spacing w:line="240" w:lineRule="auto"/>
                    <w:rPr>
                      <w:rFonts w:hint="default" w:ascii="Times New Roman" w:hAnsi="Times New Roman" w:eastAsia="宋体" w:cs="Times New Roman"/>
                      <w:color w:val="auto"/>
                      <w:sz w:val="21"/>
                      <w:szCs w:val="21"/>
                      <w:lang w:eastAsia="zh-CN"/>
                    </w:rPr>
                  </w:pPr>
                </w:p>
              </w:tc>
              <w:tc>
                <w:tcPr>
                  <w:tcW w:w="621"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pacing w:val="-2"/>
                      <w:kern w:val="2"/>
                      <w:sz w:val="21"/>
                      <w:szCs w:val="21"/>
                      <w:lang w:val="en-US" w:eastAsia="zh-CN"/>
                    </w:rPr>
                    <w:t>氮氧化物</w:t>
                  </w:r>
                </w:p>
              </w:tc>
              <w:tc>
                <w:tcPr>
                  <w:tcW w:w="1804"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en-US" w:bidi="ar-SA"/>
                    </w:rPr>
                  </w:pPr>
                  <w:r>
                    <w:rPr>
                      <w:rFonts w:hint="default" w:ascii="Times New Roman" w:hAnsi="Times New Roman" w:eastAsia="宋体" w:cs="Times New Roman"/>
                      <w:color w:val="auto"/>
                      <w:spacing w:val="-2"/>
                      <w:kern w:val="2"/>
                      <w:sz w:val="21"/>
                      <w:szCs w:val="21"/>
                      <w:lang w:val="en-US" w:eastAsia="zh-CN"/>
                    </w:rPr>
                    <w:t>《固定污染源废气 氮氧化物的测定 定电位电解法》HJ693-2014</w:t>
                  </w:r>
                </w:p>
              </w:tc>
              <w:tc>
                <w:tcPr>
                  <w:tcW w:w="1062"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pacing w:val="-2"/>
                      <w:kern w:val="2"/>
                      <w:sz w:val="21"/>
                      <w:szCs w:val="21"/>
                      <w:lang w:val="en-US" w:eastAsia="zh-CN"/>
                    </w:rPr>
                    <w:t>崂应3012H型烟尘测量仪</w:t>
                  </w:r>
                </w:p>
              </w:tc>
              <w:tc>
                <w:tcPr>
                  <w:tcW w:w="826"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pacing w:val="-2"/>
                      <w:kern w:val="2"/>
                      <w:sz w:val="21"/>
                      <w:szCs w:val="21"/>
                      <w:lang w:val="en-US" w:eastAsia="zh-CN"/>
                    </w:rPr>
                    <w:t>3mg/m</w:t>
                  </w:r>
                  <w:r>
                    <w:rPr>
                      <w:rFonts w:hint="default" w:ascii="Times New Roman" w:hAnsi="Times New Roman" w:eastAsia="宋体" w:cs="Times New Roman"/>
                      <w:color w:val="auto"/>
                      <w:spacing w:val="-2"/>
                      <w:kern w:val="2"/>
                      <w:sz w:val="21"/>
                      <w:szCs w:val="21"/>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254" w:type="pct"/>
                  <w:vMerge w:val="continue"/>
                  <w:tcBorders>
                    <w:tl2br w:val="nil"/>
                    <w:tr2bl w:val="nil"/>
                  </w:tcBorders>
                  <w:noWrap w:val="0"/>
                  <w:vAlign w:val="center"/>
                </w:tcPr>
                <w:p>
                  <w:pPr>
                    <w:pStyle w:val="26"/>
                    <w:keepNext w:val="0"/>
                    <w:keepLines w:val="0"/>
                    <w:pageBreakBefore w:val="0"/>
                    <w:kinsoku/>
                    <w:wordWrap/>
                    <w:overflowPunct/>
                    <w:topLinePunct w:val="0"/>
                    <w:bidi w:val="0"/>
                    <w:snapToGrid/>
                    <w:spacing w:line="240" w:lineRule="auto"/>
                    <w:rPr>
                      <w:rFonts w:hint="default" w:ascii="Times New Roman" w:hAnsi="Times New Roman" w:eastAsia="宋体" w:cs="Times New Roman"/>
                      <w:color w:val="auto"/>
                      <w:sz w:val="21"/>
                      <w:szCs w:val="21"/>
                    </w:rPr>
                  </w:pPr>
                </w:p>
              </w:tc>
              <w:tc>
                <w:tcPr>
                  <w:tcW w:w="430" w:type="pct"/>
                  <w:tcBorders>
                    <w:tl2br w:val="nil"/>
                    <w:tr2bl w:val="nil"/>
                  </w:tcBorders>
                  <w:noWrap w:val="0"/>
                  <w:vAlign w:val="center"/>
                </w:tcPr>
                <w:p>
                  <w:pPr>
                    <w:pStyle w:val="26"/>
                    <w:keepNext w:val="0"/>
                    <w:keepLines w:val="0"/>
                    <w:pageBreakBefore w:val="0"/>
                    <w:kinsoku/>
                    <w:wordWrap/>
                    <w:overflowPunct/>
                    <w:topLinePunct w:val="0"/>
                    <w:bidi w:val="0"/>
                    <w:snapToGrid/>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无组织废气</w:t>
                  </w:r>
                </w:p>
              </w:tc>
              <w:tc>
                <w:tcPr>
                  <w:tcW w:w="621" w:type="pct"/>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颗粒物</w:t>
                  </w:r>
                </w:p>
              </w:tc>
              <w:tc>
                <w:tcPr>
                  <w:tcW w:w="1804" w:type="pct"/>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en-US" w:bidi="ar-SA"/>
                    </w:rPr>
                  </w:pPr>
                  <w:r>
                    <w:rPr>
                      <w:rFonts w:hint="default" w:ascii="Times New Roman" w:hAnsi="Times New Roman" w:eastAsia="宋体" w:cs="Times New Roman"/>
                      <w:i w:val="0"/>
                      <w:color w:val="auto"/>
                      <w:kern w:val="0"/>
                      <w:sz w:val="21"/>
                      <w:szCs w:val="21"/>
                      <w:u w:val="none"/>
                      <w:lang w:val="en-US" w:eastAsia="zh-CN" w:bidi="ar"/>
                    </w:rPr>
                    <w:t>《环境空气 总悬浮颗粒物的测定 重量法》GB/T15432-1995</w:t>
                  </w:r>
                </w:p>
              </w:tc>
              <w:tc>
                <w:tcPr>
                  <w:tcW w:w="1062" w:type="pct"/>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lang w:eastAsia="zh-CN"/>
                    </w:rPr>
                    <w:t>十万分之一天平</w:t>
                  </w:r>
                  <w:r>
                    <w:rPr>
                      <w:rFonts w:hint="default" w:ascii="Times New Roman" w:hAnsi="Times New Roman" w:eastAsia="宋体" w:cs="Times New Roman"/>
                      <w:color w:val="auto"/>
                      <w:sz w:val="21"/>
                      <w:szCs w:val="21"/>
                      <w:lang w:val="en-US" w:eastAsia="zh-CN"/>
                    </w:rPr>
                    <w:t>/AUW120D</w:t>
                  </w:r>
                </w:p>
              </w:tc>
              <w:tc>
                <w:tcPr>
                  <w:tcW w:w="826" w:type="pct"/>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0.001mg/m</w:t>
                  </w:r>
                  <w:r>
                    <w:rPr>
                      <w:rFonts w:hint="default" w:ascii="Times New Roman" w:hAnsi="Times New Roman" w:eastAsia="宋体" w:cs="Times New Roman"/>
                      <w:i w:val="0"/>
                      <w:color w:val="auto"/>
                      <w:kern w:val="0"/>
                      <w:sz w:val="21"/>
                      <w:szCs w:val="21"/>
                      <w:u w:val="none"/>
                      <w:vertAlign w:val="superscript"/>
                      <w:lang w:val="en-US" w:eastAsia="zh-CN" w:bidi="ar"/>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54" w:type="pct"/>
                  <w:tcBorders>
                    <w:tl2br w:val="nil"/>
                    <w:tr2bl w:val="nil"/>
                  </w:tcBorders>
                  <w:noWrap w:val="0"/>
                  <w:vAlign w:val="center"/>
                </w:tcPr>
                <w:p>
                  <w:pPr>
                    <w:pStyle w:val="26"/>
                    <w:keepNext w:val="0"/>
                    <w:keepLines w:val="0"/>
                    <w:pageBreakBefore w:val="0"/>
                    <w:kinsoku/>
                    <w:wordWrap/>
                    <w:overflowPunct/>
                    <w:topLinePunct w:val="0"/>
                    <w:bidi w:val="0"/>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051" w:type="pct"/>
                  <w:gridSpan w:val="2"/>
                  <w:tcBorders>
                    <w:tl2br w:val="nil"/>
                    <w:tr2bl w:val="nil"/>
                  </w:tcBorders>
                  <w:noWrap w:val="0"/>
                  <w:vAlign w:val="center"/>
                </w:tcPr>
                <w:p>
                  <w:pPr>
                    <w:pStyle w:val="26"/>
                    <w:keepNext w:val="0"/>
                    <w:keepLines w:val="0"/>
                    <w:pageBreakBefore w:val="0"/>
                    <w:kinsoku/>
                    <w:wordWrap/>
                    <w:overflowPunct/>
                    <w:topLinePunct w:val="0"/>
                    <w:bidi w:val="0"/>
                    <w:snapToGrid/>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工业噪声</w:t>
                  </w:r>
                </w:p>
              </w:tc>
              <w:tc>
                <w:tcPr>
                  <w:tcW w:w="1804" w:type="pc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rPr>
                    <w:t>《工业企业厂界环境噪声排放标准》GB 12348-2008</w:t>
                  </w:r>
                </w:p>
              </w:tc>
              <w:tc>
                <w:tcPr>
                  <w:tcW w:w="106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AWA5680噪声分析仪</w:t>
                  </w:r>
                </w:p>
              </w:tc>
              <w:tc>
                <w:tcPr>
                  <w:tcW w:w="82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54" w:type="pct"/>
                  <w:vMerge w:val="restart"/>
                  <w:tcBorders>
                    <w:tl2br w:val="nil"/>
                    <w:tr2bl w:val="nil"/>
                  </w:tcBorders>
                  <w:noWrap w:val="0"/>
                  <w:vAlign w:val="center"/>
                </w:tcPr>
                <w:p>
                  <w:pPr>
                    <w:pStyle w:val="26"/>
                    <w:keepNext w:val="0"/>
                    <w:keepLines w:val="0"/>
                    <w:pageBreakBefore w:val="0"/>
                    <w:kinsoku/>
                    <w:wordWrap/>
                    <w:overflowPunct/>
                    <w:topLinePunct w:val="0"/>
                    <w:bidi w:val="0"/>
                    <w:snapToGrid/>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废水</w:t>
                  </w:r>
                  <w:r>
                    <w:rPr>
                      <w:rFonts w:hint="default" w:ascii="Times New Roman" w:hAnsi="Times New Roman" w:eastAsia="宋体" w:cs="Times New Roman"/>
                      <w:color w:val="auto"/>
                      <w:sz w:val="21"/>
                      <w:szCs w:val="21"/>
                      <w:lang w:val="en-US" w:eastAsia="zh-CN"/>
                    </w:rPr>
                    <w:t xml:space="preserve">                     </w:t>
                  </w:r>
                </w:p>
              </w:tc>
              <w:tc>
                <w:tcPr>
                  <w:tcW w:w="1051" w:type="pct"/>
                  <w:gridSpan w:val="2"/>
                  <w:tcBorders>
                    <w:tl2br w:val="nil"/>
                    <w:tr2bl w:val="nil"/>
                  </w:tcBorders>
                  <w:noWrap w:val="0"/>
                  <w:vAlign w:val="center"/>
                </w:tcPr>
                <w:p>
                  <w:pPr>
                    <w:numPr>
                      <w:ilvl w:val="0"/>
                      <w:numId w:val="0"/>
                    </w:numPr>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pH</w:t>
                  </w:r>
                </w:p>
              </w:tc>
              <w:tc>
                <w:tcPr>
                  <w:tcW w:w="180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highlight w:val="none"/>
                      <w:u w:val="none"/>
                      <w:lang w:val="en-US" w:eastAsia="zh-CN" w:bidi="ar"/>
                    </w:rPr>
                    <w:t>《水和废水监测分析方法》(第四版增补版）国家环境保护总局 2002年 便携式pH计法（B） 3.1.6（2）</w:t>
                  </w:r>
                </w:p>
              </w:tc>
              <w:tc>
                <w:tcPr>
                  <w:tcW w:w="106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多参数分析仪</w:t>
                  </w:r>
                </w:p>
              </w:tc>
              <w:tc>
                <w:tcPr>
                  <w:tcW w:w="82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254" w:type="pct"/>
                  <w:vMerge w:val="continue"/>
                  <w:tcBorders>
                    <w:tl2br w:val="nil"/>
                    <w:tr2bl w:val="nil"/>
                  </w:tcBorders>
                  <w:noWrap w:val="0"/>
                  <w:vAlign w:val="center"/>
                </w:tcPr>
                <w:p>
                  <w:pPr>
                    <w:pStyle w:val="26"/>
                    <w:keepNext w:val="0"/>
                    <w:keepLines w:val="0"/>
                    <w:pageBreakBefore w:val="0"/>
                    <w:kinsoku/>
                    <w:wordWrap/>
                    <w:overflowPunct/>
                    <w:topLinePunct w:val="0"/>
                    <w:bidi w:val="0"/>
                    <w:snapToGrid/>
                    <w:spacing w:line="240" w:lineRule="auto"/>
                    <w:rPr>
                      <w:rFonts w:hint="default" w:ascii="Times New Roman" w:hAnsi="Times New Roman" w:eastAsia="宋体" w:cs="Times New Roman"/>
                      <w:color w:val="auto"/>
                      <w:sz w:val="21"/>
                      <w:szCs w:val="21"/>
                    </w:rPr>
                  </w:pPr>
                </w:p>
              </w:tc>
              <w:tc>
                <w:tcPr>
                  <w:tcW w:w="1051" w:type="pct"/>
                  <w:gridSpan w:val="2"/>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kern w:val="2"/>
                      <w:sz w:val="21"/>
                      <w:szCs w:val="21"/>
                      <w:lang w:val="en-US" w:eastAsia="zh-CN"/>
                    </w:rPr>
                    <w:t>悬浮物</w:t>
                  </w:r>
                </w:p>
              </w:tc>
              <w:tc>
                <w:tcPr>
                  <w:tcW w:w="1804"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kern w:val="2"/>
                      <w:sz w:val="21"/>
                      <w:szCs w:val="21"/>
                      <w:lang w:val="en-US" w:eastAsia="zh-CN"/>
                    </w:rPr>
                    <w:t>《水质　悬浮物的测定　重量法》GB/T11901-1989</w:t>
                  </w:r>
                </w:p>
              </w:tc>
              <w:tc>
                <w:tcPr>
                  <w:tcW w:w="1062"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kern w:val="2"/>
                      <w:sz w:val="21"/>
                      <w:szCs w:val="21"/>
                      <w:lang w:val="en-US" w:eastAsia="zh-CN"/>
                    </w:rPr>
                    <w:t>分析天平/LE204E</w:t>
                  </w:r>
                </w:p>
              </w:tc>
              <w:tc>
                <w:tcPr>
                  <w:tcW w:w="826"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kern w:val="2"/>
                      <w:sz w:val="21"/>
                      <w:szCs w:val="21"/>
                      <w:lang w:val="en-US" w:eastAsia="zh-CN"/>
                    </w:rPr>
                    <w:t>4mg/L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254" w:type="pct"/>
                  <w:vMerge w:val="continue"/>
                  <w:tcBorders>
                    <w:tl2br w:val="nil"/>
                    <w:tr2bl w:val="nil"/>
                  </w:tcBorders>
                  <w:noWrap w:val="0"/>
                  <w:vAlign w:val="center"/>
                </w:tcPr>
                <w:p>
                  <w:pPr>
                    <w:pStyle w:val="26"/>
                    <w:keepNext w:val="0"/>
                    <w:keepLines w:val="0"/>
                    <w:pageBreakBefore w:val="0"/>
                    <w:kinsoku/>
                    <w:wordWrap/>
                    <w:overflowPunct/>
                    <w:topLinePunct w:val="0"/>
                    <w:bidi w:val="0"/>
                    <w:snapToGrid/>
                    <w:spacing w:line="240" w:lineRule="auto"/>
                    <w:rPr>
                      <w:rFonts w:hint="default" w:ascii="Times New Roman" w:hAnsi="Times New Roman" w:eastAsia="宋体" w:cs="Times New Roman"/>
                      <w:color w:val="auto"/>
                      <w:sz w:val="21"/>
                      <w:szCs w:val="21"/>
                    </w:rPr>
                  </w:pPr>
                </w:p>
              </w:tc>
              <w:tc>
                <w:tcPr>
                  <w:tcW w:w="1051" w:type="pct"/>
                  <w:gridSpan w:val="2"/>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kern w:val="2"/>
                      <w:sz w:val="21"/>
                      <w:szCs w:val="21"/>
                      <w:lang w:val="en-US" w:eastAsia="zh-CN"/>
                    </w:rPr>
                    <w:t>COD</w:t>
                  </w:r>
                </w:p>
              </w:tc>
              <w:tc>
                <w:tcPr>
                  <w:tcW w:w="1804"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kern w:val="2"/>
                      <w:sz w:val="21"/>
                      <w:szCs w:val="21"/>
                      <w:lang w:val="en-US" w:eastAsia="zh-CN"/>
                    </w:rPr>
                    <w:t>《水质　化学需氧量的测定　重铬酸钾法》</w:t>
                  </w:r>
                  <w:r>
                    <w:rPr>
                      <w:rFonts w:hint="default" w:ascii="Times New Roman" w:hAnsi="Times New Roman" w:eastAsia="宋体" w:cs="Times New Roman"/>
                      <w:color w:val="auto"/>
                      <w:spacing w:val="-2"/>
                      <w:kern w:val="2"/>
                      <w:sz w:val="21"/>
                      <w:szCs w:val="21"/>
                      <w:lang w:val="en-US" w:eastAsia="zh-CN"/>
                    </w:rPr>
                    <w:fldChar w:fldCharType="begin"/>
                  </w:r>
                  <w:r>
                    <w:rPr>
                      <w:rFonts w:hint="default" w:ascii="Times New Roman" w:hAnsi="Times New Roman" w:eastAsia="宋体" w:cs="Times New Roman"/>
                      <w:color w:val="auto"/>
                      <w:spacing w:val="-2"/>
                      <w:kern w:val="2"/>
                      <w:sz w:val="21"/>
                      <w:szCs w:val="21"/>
                      <w:lang w:val="en-US" w:eastAsia="zh-CN"/>
                    </w:rPr>
                    <w:instrText xml:space="preserve"> HYPERLINK "http://www.baidu.com/link?url=JlUgrcCjxXuT0Ge_b3YkGiU8BjGu2YPkV2c7AyWmG7SFLIX48vc-6wq4u_jBhSWHn2n39VV_a8pnGyKr8FSFXK" \t "https://www.baidu.com/_blank" </w:instrText>
                  </w:r>
                  <w:r>
                    <w:rPr>
                      <w:rFonts w:hint="default" w:ascii="Times New Roman" w:hAnsi="Times New Roman" w:eastAsia="宋体" w:cs="Times New Roman"/>
                      <w:color w:val="auto"/>
                      <w:spacing w:val="-2"/>
                      <w:kern w:val="2"/>
                      <w:sz w:val="21"/>
                      <w:szCs w:val="21"/>
                      <w:lang w:val="en-US" w:eastAsia="zh-CN"/>
                    </w:rPr>
                    <w:fldChar w:fldCharType="separate"/>
                  </w:r>
                  <w:r>
                    <w:rPr>
                      <w:rFonts w:hint="default" w:ascii="Times New Roman" w:hAnsi="Times New Roman" w:eastAsia="宋体" w:cs="Times New Roman"/>
                      <w:color w:val="auto"/>
                      <w:spacing w:val="-2"/>
                      <w:kern w:val="2"/>
                      <w:sz w:val="21"/>
                      <w:szCs w:val="21"/>
                      <w:lang w:val="en-US" w:eastAsia="zh-CN"/>
                    </w:rPr>
                    <w:t>HJ 828-2017</w:t>
                  </w:r>
                  <w:r>
                    <w:rPr>
                      <w:rFonts w:hint="default" w:ascii="Times New Roman" w:hAnsi="Times New Roman" w:eastAsia="宋体" w:cs="Times New Roman"/>
                      <w:color w:val="auto"/>
                      <w:spacing w:val="-2"/>
                      <w:kern w:val="2"/>
                      <w:sz w:val="21"/>
                      <w:szCs w:val="21"/>
                      <w:lang w:val="en-US" w:eastAsia="zh-CN"/>
                    </w:rPr>
                    <w:fldChar w:fldCharType="end"/>
                  </w:r>
                </w:p>
              </w:tc>
              <w:tc>
                <w:tcPr>
                  <w:tcW w:w="1062"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kern w:val="2"/>
                      <w:sz w:val="21"/>
                      <w:szCs w:val="21"/>
                      <w:lang w:val="en-US" w:eastAsia="zh-CN"/>
                    </w:rPr>
                    <w:t>滴定管</w:t>
                  </w:r>
                </w:p>
              </w:tc>
              <w:tc>
                <w:tcPr>
                  <w:tcW w:w="826"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kern w:val="2"/>
                      <w:sz w:val="21"/>
                      <w:szCs w:val="21"/>
                      <w:lang w:val="en-US" w:eastAsia="zh-CN"/>
                    </w:rPr>
                    <w:t>4mg/L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254" w:type="pct"/>
                  <w:vMerge w:val="continue"/>
                  <w:tcBorders>
                    <w:tl2br w:val="nil"/>
                    <w:tr2bl w:val="nil"/>
                  </w:tcBorders>
                  <w:noWrap w:val="0"/>
                  <w:vAlign w:val="center"/>
                </w:tcPr>
                <w:p>
                  <w:pPr>
                    <w:pStyle w:val="26"/>
                    <w:keepNext w:val="0"/>
                    <w:keepLines w:val="0"/>
                    <w:pageBreakBefore w:val="0"/>
                    <w:kinsoku/>
                    <w:wordWrap/>
                    <w:overflowPunct/>
                    <w:topLinePunct w:val="0"/>
                    <w:bidi w:val="0"/>
                    <w:snapToGrid/>
                    <w:spacing w:line="240" w:lineRule="auto"/>
                    <w:rPr>
                      <w:rFonts w:hint="default" w:ascii="Times New Roman" w:hAnsi="Times New Roman" w:eastAsia="宋体" w:cs="Times New Roman"/>
                      <w:color w:val="auto"/>
                      <w:sz w:val="21"/>
                      <w:szCs w:val="21"/>
                    </w:rPr>
                  </w:pPr>
                </w:p>
              </w:tc>
              <w:tc>
                <w:tcPr>
                  <w:tcW w:w="1051" w:type="pct"/>
                  <w:gridSpan w:val="2"/>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氨氮</w:t>
                  </w:r>
                </w:p>
              </w:tc>
              <w:tc>
                <w:tcPr>
                  <w:tcW w:w="1804" w:type="pc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《水质 氨氮的测定</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 xml:space="preserve">纳氏试剂光度法》HJ535-2009 </w:t>
                  </w:r>
                </w:p>
              </w:tc>
              <w:tc>
                <w:tcPr>
                  <w:tcW w:w="1062" w:type="pc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紫外可见分光光度计</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TU-1901</w:t>
                  </w:r>
                </w:p>
              </w:tc>
              <w:tc>
                <w:tcPr>
                  <w:tcW w:w="826" w:type="pc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254" w:type="pct"/>
                  <w:vMerge w:val="continue"/>
                  <w:tcBorders>
                    <w:tl2br w:val="nil"/>
                    <w:tr2bl w:val="nil"/>
                  </w:tcBorders>
                  <w:noWrap w:val="0"/>
                  <w:vAlign w:val="center"/>
                </w:tcPr>
                <w:p>
                  <w:pPr>
                    <w:pStyle w:val="26"/>
                    <w:keepNext w:val="0"/>
                    <w:keepLines w:val="0"/>
                    <w:pageBreakBefore w:val="0"/>
                    <w:kinsoku/>
                    <w:wordWrap/>
                    <w:overflowPunct/>
                    <w:topLinePunct w:val="0"/>
                    <w:bidi w:val="0"/>
                    <w:snapToGrid/>
                    <w:spacing w:line="240" w:lineRule="auto"/>
                    <w:rPr>
                      <w:rFonts w:hint="default" w:ascii="Times New Roman" w:hAnsi="Times New Roman" w:eastAsia="宋体" w:cs="Times New Roman"/>
                      <w:color w:val="auto"/>
                      <w:sz w:val="21"/>
                      <w:szCs w:val="21"/>
                    </w:rPr>
                  </w:pPr>
                </w:p>
              </w:tc>
              <w:tc>
                <w:tcPr>
                  <w:tcW w:w="1051" w:type="pct"/>
                  <w:gridSpan w:val="2"/>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lang w:val="en-US" w:eastAsia="zh-CN"/>
                    </w:rPr>
                    <w:t>BOD</w:t>
                  </w:r>
                  <w:r>
                    <w:rPr>
                      <w:rFonts w:hint="default" w:ascii="Times New Roman" w:hAnsi="Times New Roman" w:cs="Times New Roman"/>
                      <w:color w:val="auto"/>
                      <w:vertAlign w:val="subscript"/>
                      <w:lang w:val="en-US" w:eastAsia="zh-CN"/>
                    </w:rPr>
                    <w:t>5</w:t>
                  </w:r>
                </w:p>
              </w:tc>
              <w:tc>
                <w:tcPr>
                  <w:tcW w:w="1804" w:type="pc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《水质 五日生化需氧量的测定 稀释与接种法》HJ505-2009</w:t>
                  </w:r>
                </w:p>
              </w:tc>
              <w:tc>
                <w:tcPr>
                  <w:tcW w:w="1062" w:type="pc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生化培养箱</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SPX-150</w:t>
                  </w:r>
                </w:p>
              </w:tc>
              <w:tc>
                <w:tcPr>
                  <w:tcW w:w="826" w:type="pc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254" w:type="pct"/>
                  <w:vMerge w:val="continue"/>
                  <w:tcBorders>
                    <w:tl2br w:val="nil"/>
                    <w:tr2bl w:val="nil"/>
                  </w:tcBorders>
                  <w:noWrap w:val="0"/>
                  <w:vAlign w:val="center"/>
                </w:tcPr>
                <w:p>
                  <w:pPr>
                    <w:pStyle w:val="26"/>
                    <w:keepNext w:val="0"/>
                    <w:keepLines w:val="0"/>
                    <w:pageBreakBefore w:val="0"/>
                    <w:kinsoku/>
                    <w:wordWrap/>
                    <w:overflowPunct/>
                    <w:topLinePunct w:val="0"/>
                    <w:bidi w:val="0"/>
                    <w:snapToGrid/>
                    <w:spacing w:line="240" w:lineRule="auto"/>
                    <w:rPr>
                      <w:rFonts w:hint="default" w:ascii="Times New Roman" w:hAnsi="Times New Roman" w:eastAsia="宋体" w:cs="Times New Roman"/>
                      <w:color w:val="auto"/>
                      <w:sz w:val="21"/>
                      <w:szCs w:val="21"/>
                    </w:rPr>
                  </w:pPr>
                </w:p>
              </w:tc>
              <w:tc>
                <w:tcPr>
                  <w:tcW w:w="1051" w:type="pct"/>
                  <w:gridSpan w:val="2"/>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总磷</w:t>
                  </w:r>
                </w:p>
              </w:tc>
              <w:tc>
                <w:tcPr>
                  <w:tcW w:w="1804" w:type="pc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《水质　总磷的测定　钼酸铵分光光度法》GB/T11893-1989</w:t>
                  </w:r>
                </w:p>
              </w:tc>
              <w:tc>
                <w:tcPr>
                  <w:tcW w:w="1062" w:type="pc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紫外可见分光光度计</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TU-1901</w:t>
                  </w:r>
                </w:p>
              </w:tc>
              <w:tc>
                <w:tcPr>
                  <w:tcW w:w="826" w:type="pct"/>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254" w:type="pct"/>
                  <w:vMerge w:val="continue"/>
                  <w:tcBorders>
                    <w:tl2br w:val="nil"/>
                    <w:tr2bl w:val="nil"/>
                  </w:tcBorders>
                  <w:noWrap w:val="0"/>
                  <w:vAlign w:val="center"/>
                </w:tcPr>
                <w:p>
                  <w:pPr>
                    <w:pStyle w:val="26"/>
                    <w:keepNext w:val="0"/>
                    <w:keepLines w:val="0"/>
                    <w:pageBreakBefore w:val="0"/>
                    <w:kinsoku/>
                    <w:wordWrap/>
                    <w:overflowPunct/>
                    <w:topLinePunct w:val="0"/>
                    <w:bidi w:val="0"/>
                    <w:snapToGrid/>
                    <w:spacing w:line="240" w:lineRule="auto"/>
                    <w:rPr>
                      <w:rFonts w:hint="default" w:ascii="Times New Roman" w:hAnsi="Times New Roman" w:eastAsia="宋体" w:cs="Times New Roman"/>
                      <w:color w:val="auto"/>
                      <w:sz w:val="21"/>
                      <w:szCs w:val="21"/>
                    </w:rPr>
                  </w:pPr>
                </w:p>
              </w:tc>
              <w:tc>
                <w:tcPr>
                  <w:tcW w:w="1051" w:type="pct"/>
                  <w:gridSpan w:val="2"/>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highlight w:val="none"/>
                      <w:lang w:val="en-US" w:eastAsia="zh-CN" w:bidi="ar-SA"/>
                    </w:rPr>
                    <w:t>总氮</w:t>
                  </w:r>
                </w:p>
              </w:tc>
              <w:tc>
                <w:tcPr>
                  <w:tcW w:w="1804" w:type="pc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《水质　总氮的测定　碱性过硫酸钾消解紫外分光光度法》HJ636-2012</w:t>
                  </w:r>
                </w:p>
              </w:tc>
              <w:tc>
                <w:tcPr>
                  <w:tcW w:w="106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紫外可见分光光度计</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TU-1901</w:t>
                  </w:r>
                </w:p>
              </w:tc>
              <w:tc>
                <w:tcPr>
                  <w:tcW w:w="82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highlight w:val="none"/>
                      <w:u w:val="none"/>
                      <w:lang w:val="en-US" w:eastAsia="zh-CN" w:bidi="ar"/>
                    </w:rPr>
                    <w:t>0.05mg/L</w:t>
                  </w:r>
                </w:p>
              </w:tc>
            </w:tr>
          </w:tbl>
          <w:p>
            <w:pPr>
              <w:pStyle w:val="2"/>
              <w:jc w:val="both"/>
              <w:rPr>
                <w:rFonts w:hint="default" w:ascii="Times New Roman" w:hAnsi="Times New Roman" w:eastAsia="宋体" w:cs="Times New Roman"/>
                <w:color w:val="auto"/>
              </w:rPr>
            </w:pPr>
          </w:p>
          <w:p>
            <w:pPr>
              <w:pStyle w:val="2"/>
              <w:jc w:val="both"/>
              <w:rPr>
                <w:rFonts w:hint="default" w:ascii="Times New Roman" w:hAnsi="Times New Roman" w:eastAsia="宋体" w:cs="Times New Roman"/>
                <w:color w:val="auto"/>
              </w:rPr>
            </w:pPr>
          </w:p>
          <w:p>
            <w:pPr>
              <w:pStyle w:val="2"/>
              <w:jc w:val="both"/>
              <w:rPr>
                <w:rFonts w:hint="default" w:ascii="Times New Roman" w:hAnsi="Times New Roman" w:eastAsia="宋体" w:cs="Times New Roman"/>
                <w:color w:val="auto"/>
              </w:rPr>
            </w:pPr>
          </w:p>
          <w:p>
            <w:pPr>
              <w:pStyle w:val="25"/>
              <w:spacing w:line="374" w:lineRule="exact"/>
              <w:jc w:val="both"/>
              <w:rPr>
                <w:rFonts w:hint="default" w:ascii="Times New Roman" w:hAnsi="Times New Roman" w:eastAsia="宋体" w:cs="Times New Roman"/>
                <w:color w:val="auto"/>
                <w:sz w:val="21"/>
                <w:szCs w:val="20"/>
                <w:lang w:eastAsia="zh-CN"/>
              </w:rPr>
            </w:pPr>
          </w:p>
          <w:p>
            <w:pPr>
              <w:pStyle w:val="25"/>
              <w:spacing w:line="374" w:lineRule="exact"/>
              <w:jc w:val="both"/>
              <w:rPr>
                <w:rFonts w:hint="default" w:ascii="Times New Roman" w:hAnsi="Times New Roman" w:eastAsia="宋体" w:cs="Times New Roman"/>
                <w:color w:val="auto"/>
                <w:sz w:val="21"/>
                <w:szCs w:val="20"/>
                <w:lang w:eastAsia="zh-CN"/>
              </w:rPr>
            </w:pPr>
          </w:p>
          <w:p>
            <w:pPr>
              <w:pStyle w:val="25"/>
              <w:spacing w:line="374" w:lineRule="exact"/>
              <w:jc w:val="both"/>
              <w:rPr>
                <w:rFonts w:hint="default" w:ascii="Times New Roman" w:hAnsi="Times New Roman" w:eastAsia="宋体" w:cs="Times New Roman"/>
                <w:color w:val="auto"/>
                <w:sz w:val="21"/>
                <w:szCs w:val="20"/>
                <w:lang w:eastAsia="zh-CN"/>
              </w:rPr>
            </w:pPr>
          </w:p>
          <w:p>
            <w:pPr>
              <w:pStyle w:val="25"/>
              <w:spacing w:line="374" w:lineRule="exact"/>
              <w:jc w:val="both"/>
              <w:rPr>
                <w:rFonts w:hint="default" w:ascii="Times New Roman" w:hAnsi="Times New Roman" w:eastAsia="宋体" w:cs="Times New Roman"/>
                <w:color w:val="auto"/>
                <w:sz w:val="21"/>
                <w:szCs w:val="20"/>
                <w:lang w:eastAsia="zh-CN"/>
              </w:rPr>
            </w:pPr>
          </w:p>
          <w:p>
            <w:pPr>
              <w:pStyle w:val="25"/>
              <w:spacing w:line="374" w:lineRule="exact"/>
              <w:jc w:val="both"/>
              <w:rPr>
                <w:rFonts w:hint="default" w:ascii="Times New Roman" w:hAnsi="Times New Roman" w:eastAsia="宋体" w:cs="Times New Roman"/>
                <w:color w:val="auto"/>
                <w:sz w:val="21"/>
                <w:szCs w:val="20"/>
                <w:lang w:eastAsia="zh-CN"/>
              </w:rPr>
            </w:pPr>
          </w:p>
          <w:p>
            <w:pPr>
              <w:pStyle w:val="25"/>
              <w:spacing w:line="374" w:lineRule="exact"/>
              <w:jc w:val="both"/>
              <w:rPr>
                <w:rFonts w:hint="default" w:ascii="Times New Roman" w:hAnsi="Times New Roman" w:eastAsia="宋体" w:cs="Times New Roman"/>
                <w:color w:val="auto"/>
                <w:sz w:val="21"/>
                <w:szCs w:val="20"/>
                <w:lang w:eastAsia="zh-CN"/>
              </w:rPr>
            </w:pPr>
          </w:p>
          <w:p>
            <w:pPr>
              <w:pStyle w:val="25"/>
              <w:spacing w:line="374" w:lineRule="exact"/>
              <w:jc w:val="both"/>
              <w:rPr>
                <w:rFonts w:hint="default" w:ascii="Times New Roman" w:hAnsi="Times New Roman" w:eastAsia="宋体" w:cs="Times New Roman"/>
                <w:color w:val="auto"/>
                <w:sz w:val="21"/>
                <w:szCs w:val="20"/>
                <w:lang w:eastAsia="zh-CN"/>
              </w:rPr>
            </w:pPr>
          </w:p>
          <w:p>
            <w:pPr>
              <w:pStyle w:val="25"/>
              <w:spacing w:line="374" w:lineRule="exact"/>
              <w:jc w:val="both"/>
              <w:rPr>
                <w:rFonts w:hint="default" w:ascii="Times New Roman" w:hAnsi="Times New Roman" w:eastAsia="宋体" w:cs="Times New Roman"/>
                <w:color w:val="auto"/>
                <w:sz w:val="21"/>
                <w:szCs w:val="20"/>
                <w:lang w:eastAsia="zh-CN"/>
              </w:rPr>
            </w:pPr>
          </w:p>
          <w:p>
            <w:pPr>
              <w:pStyle w:val="25"/>
              <w:spacing w:line="374" w:lineRule="exact"/>
              <w:jc w:val="both"/>
              <w:rPr>
                <w:rFonts w:hint="default" w:ascii="Times New Roman" w:hAnsi="Times New Roman" w:eastAsia="宋体" w:cs="Times New Roman"/>
                <w:color w:val="auto"/>
                <w:sz w:val="21"/>
                <w:szCs w:val="20"/>
                <w:lang w:eastAsia="zh-CN"/>
              </w:rPr>
            </w:pPr>
          </w:p>
          <w:p>
            <w:pPr>
              <w:pStyle w:val="25"/>
              <w:spacing w:line="374" w:lineRule="exact"/>
              <w:jc w:val="both"/>
              <w:rPr>
                <w:rFonts w:hint="default" w:ascii="Times New Roman" w:hAnsi="Times New Roman" w:eastAsia="宋体" w:cs="Times New Roman"/>
                <w:color w:val="auto"/>
                <w:sz w:val="21"/>
                <w:szCs w:val="20"/>
                <w:lang w:eastAsia="zh-CN"/>
              </w:rPr>
            </w:pPr>
          </w:p>
          <w:p>
            <w:pPr>
              <w:pStyle w:val="25"/>
              <w:spacing w:line="374" w:lineRule="exact"/>
              <w:jc w:val="both"/>
              <w:rPr>
                <w:rFonts w:hint="default" w:ascii="Times New Roman" w:hAnsi="Times New Roman" w:eastAsia="宋体" w:cs="Times New Roman"/>
                <w:color w:val="auto"/>
                <w:sz w:val="21"/>
                <w:szCs w:val="20"/>
                <w:lang w:eastAsia="zh-CN"/>
              </w:rPr>
            </w:pPr>
          </w:p>
          <w:p>
            <w:pPr>
              <w:pStyle w:val="25"/>
              <w:spacing w:line="374" w:lineRule="exact"/>
              <w:jc w:val="both"/>
              <w:rPr>
                <w:rFonts w:hint="default" w:ascii="Times New Roman" w:hAnsi="Times New Roman" w:eastAsia="宋体" w:cs="Times New Roman"/>
                <w:color w:val="auto"/>
                <w:sz w:val="21"/>
                <w:szCs w:val="20"/>
                <w:lang w:eastAsia="zh-CN"/>
              </w:rPr>
            </w:pPr>
          </w:p>
          <w:p>
            <w:pPr>
              <w:pStyle w:val="25"/>
              <w:spacing w:line="374" w:lineRule="exact"/>
              <w:jc w:val="both"/>
              <w:rPr>
                <w:rFonts w:hint="default" w:ascii="Times New Roman" w:hAnsi="Times New Roman" w:eastAsia="宋体" w:cs="Times New Roman"/>
                <w:color w:val="auto"/>
                <w:sz w:val="21"/>
                <w:szCs w:val="20"/>
                <w:lang w:eastAsia="zh-CN"/>
              </w:rPr>
            </w:pPr>
          </w:p>
          <w:p>
            <w:pPr>
              <w:pStyle w:val="25"/>
              <w:spacing w:line="374" w:lineRule="exact"/>
              <w:jc w:val="both"/>
              <w:rPr>
                <w:rFonts w:hint="default" w:ascii="Times New Roman" w:hAnsi="Times New Roman" w:eastAsia="宋体" w:cs="Times New Roman"/>
                <w:color w:val="auto"/>
                <w:sz w:val="21"/>
                <w:szCs w:val="20"/>
                <w:lang w:eastAsia="zh-CN"/>
              </w:rPr>
            </w:pPr>
          </w:p>
          <w:p>
            <w:pPr>
              <w:pStyle w:val="25"/>
              <w:spacing w:line="374" w:lineRule="exact"/>
              <w:jc w:val="both"/>
              <w:rPr>
                <w:rFonts w:hint="default" w:ascii="Times New Roman" w:hAnsi="Times New Roman" w:eastAsia="宋体" w:cs="Times New Roman"/>
                <w:color w:val="auto"/>
                <w:sz w:val="21"/>
                <w:szCs w:val="20"/>
                <w:lang w:eastAsia="zh-CN"/>
              </w:rPr>
            </w:pPr>
          </w:p>
          <w:p>
            <w:pPr>
              <w:pStyle w:val="25"/>
              <w:spacing w:line="374" w:lineRule="exact"/>
              <w:jc w:val="both"/>
              <w:rPr>
                <w:rFonts w:hint="default" w:ascii="Times New Roman" w:hAnsi="Times New Roman" w:eastAsia="宋体" w:cs="Times New Roman"/>
                <w:color w:val="auto"/>
                <w:sz w:val="21"/>
                <w:szCs w:val="20"/>
                <w:lang w:eastAsia="zh-CN"/>
              </w:rPr>
            </w:pPr>
          </w:p>
          <w:p>
            <w:pPr>
              <w:pStyle w:val="25"/>
              <w:spacing w:line="374" w:lineRule="exact"/>
              <w:jc w:val="both"/>
              <w:rPr>
                <w:rFonts w:hint="default" w:ascii="Times New Roman" w:hAnsi="Times New Roman" w:eastAsia="宋体" w:cs="Times New Roman"/>
                <w:color w:val="auto"/>
                <w:sz w:val="21"/>
                <w:szCs w:val="20"/>
                <w:lang w:eastAsia="zh-CN"/>
              </w:rPr>
            </w:pPr>
          </w:p>
          <w:p>
            <w:pPr>
              <w:pStyle w:val="25"/>
              <w:spacing w:line="374" w:lineRule="exact"/>
              <w:jc w:val="both"/>
              <w:rPr>
                <w:rFonts w:hint="default" w:ascii="Times New Roman" w:hAnsi="Times New Roman" w:eastAsia="宋体" w:cs="Times New Roman"/>
                <w:color w:val="auto"/>
                <w:sz w:val="21"/>
                <w:szCs w:val="20"/>
                <w:lang w:eastAsia="zh-CN"/>
              </w:rPr>
            </w:pPr>
          </w:p>
          <w:p>
            <w:pPr>
              <w:pStyle w:val="25"/>
              <w:spacing w:line="374" w:lineRule="exact"/>
              <w:jc w:val="both"/>
              <w:rPr>
                <w:rFonts w:hint="default" w:ascii="Times New Roman" w:hAnsi="Times New Roman" w:eastAsia="宋体" w:cs="Times New Roman"/>
                <w:color w:val="auto"/>
                <w:sz w:val="21"/>
                <w:szCs w:val="20"/>
                <w:lang w:eastAsia="zh-CN"/>
              </w:rPr>
            </w:pPr>
          </w:p>
          <w:p>
            <w:pPr>
              <w:pStyle w:val="25"/>
              <w:spacing w:line="374" w:lineRule="exact"/>
              <w:jc w:val="both"/>
              <w:rPr>
                <w:rFonts w:hint="default" w:ascii="Times New Roman" w:hAnsi="Times New Roman" w:eastAsia="宋体" w:cs="Times New Roman"/>
                <w:color w:val="auto"/>
                <w:sz w:val="21"/>
                <w:szCs w:val="20"/>
                <w:lang w:eastAsia="zh-CN"/>
              </w:rPr>
            </w:pPr>
          </w:p>
          <w:p>
            <w:pPr>
              <w:pStyle w:val="25"/>
              <w:spacing w:line="374" w:lineRule="exact"/>
              <w:jc w:val="both"/>
              <w:rPr>
                <w:rFonts w:hint="default" w:ascii="Times New Roman" w:hAnsi="Times New Roman" w:eastAsia="宋体" w:cs="Times New Roman"/>
                <w:color w:val="auto"/>
                <w:sz w:val="21"/>
                <w:szCs w:val="20"/>
                <w:lang w:eastAsia="zh-CN"/>
              </w:rPr>
            </w:pPr>
          </w:p>
        </w:tc>
      </w:tr>
    </w:tbl>
    <w:p>
      <w:pPr>
        <w:pStyle w:val="1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br w:type="page"/>
      </w:r>
    </w:p>
    <w:p>
      <w:pPr>
        <w:spacing w:line="386" w:lineRule="exact"/>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lang w:eastAsia="zh-CN"/>
        </w:rPr>
        <w:t>表七</w:t>
      </w:r>
    </w:p>
    <w:tbl>
      <w:tblPr>
        <w:tblStyle w:val="19"/>
        <w:tblW w:w="8872" w:type="dxa"/>
        <w:jc w:val="center"/>
        <w:tblBorders>
          <w:top w:val="single" w:color="auto" w:sz="12" w:space="0"/>
          <w:left w:val="single" w:color="auto" w:sz="12" w:space="0"/>
          <w:bottom w:val="single" w:color="auto" w:sz="12" w:space="0"/>
          <w:right w:val="single" w:color="auto" w:sz="12" w:space="0"/>
          <w:insideH w:val="single" w:color="auto" w:sz="12" w:space="0"/>
          <w:insideV w:val="none" w:color="auto" w:sz="0" w:space="0"/>
        </w:tblBorders>
        <w:tblLayout w:type="fixed"/>
        <w:tblCellMar>
          <w:top w:w="0" w:type="dxa"/>
          <w:left w:w="108" w:type="dxa"/>
          <w:bottom w:w="0" w:type="dxa"/>
          <w:right w:w="108" w:type="dxa"/>
        </w:tblCellMar>
      </w:tblPr>
      <w:tblGrid>
        <w:gridCol w:w="8872"/>
      </w:tblGrid>
      <w:tr>
        <w:tblPrEx>
          <w:tblBorders>
            <w:top w:val="single" w:color="auto" w:sz="12" w:space="0"/>
            <w:left w:val="single" w:color="auto" w:sz="12" w:space="0"/>
            <w:bottom w:val="single" w:color="auto" w:sz="12" w:space="0"/>
            <w:right w:val="single" w:color="auto" w:sz="12" w:space="0"/>
            <w:insideH w:val="single" w:color="auto" w:sz="12" w:space="0"/>
            <w:insideV w:val="none" w:color="auto" w:sz="0" w:space="0"/>
          </w:tblBorders>
          <w:tblCellMar>
            <w:top w:w="0" w:type="dxa"/>
            <w:left w:w="108" w:type="dxa"/>
            <w:bottom w:w="0" w:type="dxa"/>
            <w:right w:w="108" w:type="dxa"/>
          </w:tblCellMar>
        </w:tblPrEx>
        <w:trPr>
          <w:trHeight w:val="0" w:hRule="atLeast"/>
          <w:jc w:val="center"/>
        </w:trPr>
        <w:tc>
          <w:tcPr>
            <w:tcW w:w="8872" w:type="dxa"/>
            <w:tcBorders>
              <w:tl2br w:val="nil"/>
              <w:tr2bl w:val="nil"/>
            </w:tcBorders>
          </w:tcPr>
          <w:p>
            <w:pPr>
              <w:spacing w:line="360" w:lineRule="auto"/>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验收监测期间废气处理工况记录：</w:t>
            </w:r>
          </w:p>
          <w:p>
            <w:p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color w:val="auto"/>
                <w:sz w:val="24"/>
                <w:szCs w:val="24"/>
              </w:rPr>
              <w:t>根据《建设项目竣工环境保护验收技术指南 污染影响类》的工况记录推荐方法“</w:t>
            </w:r>
            <w:r>
              <w:rPr>
                <w:rFonts w:hint="default" w:ascii="Times New Roman" w:hAnsi="Times New Roman" w:eastAsia="宋体" w:cs="Times New Roman"/>
                <w:bCs/>
                <w:color w:val="auto"/>
                <w:sz w:val="24"/>
                <w:szCs w:val="24"/>
                <w:lang w:eastAsia="zh-CN"/>
              </w:rPr>
              <w:t>生产制造类项目</w:t>
            </w:r>
            <w:r>
              <w:rPr>
                <w:rFonts w:hint="default" w:ascii="Times New Roman" w:hAnsi="Times New Roman" w:eastAsia="宋体" w:cs="Times New Roman"/>
                <w:bCs/>
                <w:color w:val="auto"/>
                <w:sz w:val="24"/>
                <w:szCs w:val="24"/>
              </w:rPr>
              <w:t>”</w:t>
            </w:r>
            <w:r>
              <w:rPr>
                <w:rFonts w:hint="default" w:ascii="Times New Roman" w:hAnsi="Times New Roman" w:eastAsia="宋体" w:cs="Times New Roman"/>
                <w:bCs/>
                <w:color w:val="auto"/>
                <w:sz w:val="24"/>
                <w:szCs w:val="24"/>
                <w:lang w:eastAsia="zh-CN"/>
              </w:rPr>
              <w:t>可</w:t>
            </w:r>
            <w:r>
              <w:rPr>
                <w:rFonts w:hint="default" w:ascii="Times New Roman" w:hAnsi="Times New Roman" w:eastAsia="宋体" w:cs="Times New Roman"/>
                <w:bCs/>
                <w:color w:val="auto"/>
                <w:sz w:val="24"/>
                <w:szCs w:val="24"/>
              </w:rPr>
              <w:t>采用</w:t>
            </w:r>
            <w:r>
              <w:rPr>
                <w:rFonts w:hint="default" w:ascii="Times New Roman" w:hAnsi="Times New Roman" w:eastAsia="宋体" w:cs="Times New Roman"/>
                <w:bCs/>
                <w:color w:val="auto"/>
                <w:sz w:val="24"/>
                <w:szCs w:val="24"/>
                <w:lang w:eastAsia="zh-CN"/>
              </w:rPr>
              <w:t>产品产量核算法</w:t>
            </w:r>
            <w:r>
              <w:rPr>
                <w:rFonts w:hint="default" w:ascii="Times New Roman" w:hAnsi="Times New Roman" w:eastAsia="宋体" w:cs="Times New Roman"/>
                <w:bCs/>
                <w:color w:val="auto"/>
                <w:sz w:val="24"/>
                <w:szCs w:val="24"/>
              </w:rPr>
              <w:t>来核定工况录况。</w:t>
            </w:r>
            <w:r>
              <w:rPr>
                <w:rFonts w:hint="default" w:ascii="Times New Roman" w:hAnsi="Times New Roman" w:eastAsia="宋体" w:cs="Times New Roman"/>
                <w:color w:val="auto"/>
                <w:spacing w:val="-4"/>
                <w:sz w:val="24"/>
                <w:szCs w:val="24"/>
              </w:rPr>
              <w:t>按设计</w:t>
            </w:r>
            <w:r>
              <w:rPr>
                <w:rFonts w:hint="default" w:ascii="Times New Roman" w:hAnsi="Times New Roman" w:eastAsia="宋体" w:cs="Times New Roman"/>
                <w:color w:val="auto"/>
                <w:spacing w:val="-4"/>
                <w:sz w:val="24"/>
                <w:szCs w:val="24"/>
                <w:lang w:eastAsia="zh-CN"/>
              </w:rPr>
              <w:t>产品年产量</w:t>
            </w:r>
            <w:r>
              <w:rPr>
                <w:rFonts w:hint="default" w:ascii="Times New Roman" w:hAnsi="Times New Roman" w:eastAsia="宋体" w:cs="Times New Roman"/>
                <w:color w:val="auto"/>
                <w:spacing w:val="-4"/>
                <w:sz w:val="24"/>
                <w:szCs w:val="24"/>
              </w:rPr>
              <w:t>来计算，据此，验收监测期间工况表见表</w:t>
            </w:r>
            <w:r>
              <w:rPr>
                <w:rFonts w:hint="default" w:ascii="Times New Roman" w:hAnsi="Times New Roman" w:eastAsia="宋体" w:cs="Times New Roman"/>
                <w:color w:val="auto"/>
                <w:sz w:val="24"/>
                <w:szCs w:val="24"/>
                <w:lang w:val="en-US" w:eastAsia="zh-CN"/>
              </w:rPr>
              <w:t>15。</w:t>
            </w:r>
          </w:p>
          <w:p>
            <w:pPr>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表15  验收监测期间工况分析表</w:t>
            </w:r>
          </w:p>
          <w:tbl>
            <w:tblPr>
              <w:tblStyle w:val="19"/>
              <w:tblW w:w="4994" w:type="pct"/>
              <w:tblInd w:w="5" w:type="dxa"/>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5"/>
              <w:gridCol w:w="2123"/>
              <w:gridCol w:w="1812"/>
              <w:gridCol w:w="1705"/>
              <w:gridCol w:w="1706"/>
            </w:tblGrid>
            <w:tr>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49" w:type="pct"/>
                  <w:tcBorders>
                    <w:tl2br w:val="nil"/>
                    <w:tr2bl w:val="nil"/>
                  </w:tcBorders>
                  <w:shd w:val="clear" w:color="auto" w:fill="D7D7D7" w:themeFill="background1" w:themeFillShade="D8"/>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监测时间</w:t>
                  </w:r>
                </w:p>
              </w:tc>
              <w:tc>
                <w:tcPr>
                  <w:tcW w:w="1228" w:type="pct"/>
                  <w:tcBorders>
                    <w:tl2br w:val="nil"/>
                    <w:tr2bl w:val="nil"/>
                  </w:tcBorders>
                  <w:shd w:val="clear" w:color="auto" w:fill="D7D7D7" w:themeFill="background1" w:themeFillShade="D8"/>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产品类别</w:t>
                  </w:r>
                </w:p>
              </w:tc>
              <w:tc>
                <w:tcPr>
                  <w:tcW w:w="1048" w:type="pct"/>
                  <w:tcBorders>
                    <w:tl2br w:val="nil"/>
                    <w:tr2bl w:val="nil"/>
                  </w:tcBorders>
                  <w:shd w:val="clear" w:color="auto" w:fill="D7D7D7" w:themeFill="background1" w:themeFillShade="D8"/>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核算成实际产品年产量</w:t>
                  </w:r>
                </w:p>
              </w:tc>
              <w:tc>
                <w:tcPr>
                  <w:tcW w:w="986" w:type="pct"/>
                  <w:tcBorders>
                    <w:tl2br w:val="nil"/>
                    <w:tr2bl w:val="nil"/>
                  </w:tcBorders>
                  <w:shd w:val="clear" w:color="auto" w:fill="D7D7D7" w:themeFill="background1" w:themeFillShade="D8"/>
                  <w:vAlign w:val="center"/>
                </w:tcPr>
                <w:p>
                  <w:pPr>
                    <w:pStyle w:val="10"/>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设计产品年产量</w:t>
                  </w:r>
                </w:p>
              </w:tc>
              <w:tc>
                <w:tcPr>
                  <w:tcW w:w="987" w:type="pct"/>
                  <w:tcBorders>
                    <w:tl2br w:val="nil"/>
                    <w:tr2bl w:val="nil"/>
                  </w:tcBorders>
                  <w:shd w:val="clear" w:color="auto" w:fill="D7D7D7" w:themeFill="background1" w:themeFillShade="D8"/>
                  <w:vAlign w:val="center"/>
                </w:tcPr>
                <w:p>
                  <w:pPr>
                    <w:pStyle w:val="10"/>
                    <w:keepNext w:val="0"/>
                    <w:keepLines w:val="0"/>
                    <w:pageBreakBefore w:val="0"/>
                    <w:widowControl w:val="0"/>
                    <w:kinsoku/>
                    <w:wordWrap/>
                    <w:overflowPunct/>
                    <w:topLinePunct w:val="0"/>
                    <w:autoSpaceDE w:val="0"/>
                    <w:autoSpaceDN w:val="0"/>
                    <w:bidi w:val="0"/>
                    <w:adjustRightInd/>
                    <w:snapToGrid/>
                    <w:ind w:firstLine="211" w:firstLineChars="10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负荷（%）</w:t>
                  </w:r>
                </w:p>
              </w:tc>
            </w:tr>
            <w:tr>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749" w:type="pct"/>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2021.05.05-</w:t>
                  </w:r>
                </w:p>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2021.05.06</w:t>
                  </w:r>
                </w:p>
              </w:tc>
              <w:tc>
                <w:tcPr>
                  <w:tcW w:w="122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eastAsia="zh-CN"/>
                    </w:rPr>
                    <w:t>巴他赛注射液</w:t>
                  </w:r>
                </w:p>
              </w:tc>
              <w:tc>
                <w:tcPr>
                  <w:tcW w:w="104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0（万支）</w:t>
                  </w:r>
                </w:p>
              </w:tc>
              <w:tc>
                <w:tcPr>
                  <w:tcW w:w="98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1350（万支）</w:t>
                  </w:r>
                </w:p>
              </w:tc>
              <w:tc>
                <w:tcPr>
                  <w:tcW w:w="987"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49"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p>
              </w:tc>
              <w:tc>
                <w:tcPr>
                  <w:tcW w:w="122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盐酸吉西他滨注射液</w:t>
                  </w:r>
                </w:p>
              </w:tc>
              <w:tc>
                <w:tcPr>
                  <w:tcW w:w="104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0（万支）</w:t>
                  </w:r>
                </w:p>
              </w:tc>
              <w:tc>
                <w:tcPr>
                  <w:tcW w:w="98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1350（万支）</w:t>
                  </w:r>
                </w:p>
              </w:tc>
              <w:tc>
                <w:tcPr>
                  <w:tcW w:w="987"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49"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p>
              </w:tc>
              <w:tc>
                <w:tcPr>
                  <w:tcW w:w="122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注射用紫杉醇</w:t>
                  </w:r>
                </w:p>
              </w:tc>
              <w:tc>
                <w:tcPr>
                  <w:tcW w:w="104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37.5（万瓶）</w:t>
                  </w:r>
                </w:p>
              </w:tc>
              <w:tc>
                <w:tcPr>
                  <w:tcW w:w="98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135（万瓶）</w:t>
                  </w:r>
                </w:p>
              </w:tc>
              <w:tc>
                <w:tcPr>
                  <w:tcW w:w="987"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27.8%</w:t>
                  </w:r>
                </w:p>
              </w:tc>
            </w:tr>
            <w:tr>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49"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p>
              </w:tc>
              <w:tc>
                <w:tcPr>
                  <w:tcW w:w="122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阿西替尼片</w:t>
                  </w:r>
                </w:p>
              </w:tc>
              <w:tc>
                <w:tcPr>
                  <w:tcW w:w="104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3750（万片）</w:t>
                  </w:r>
                </w:p>
              </w:tc>
              <w:tc>
                <w:tcPr>
                  <w:tcW w:w="98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5400（万片）</w:t>
                  </w:r>
                </w:p>
              </w:tc>
              <w:tc>
                <w:tcPr>
                  <w:tcW w:w="987"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69.4%</w:t>
                  </w:r>
                </w:p>
              </w:tc>
            </w:tr>
          </w:tbl>
          <w:p>
            <w:pPr>
              <w:spacing w:line="360" w:lineRule="auto"/>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验收监测结果：</w:t>
            </w:r>
          </w:p>
          <w:p>
            <w:pPr>
              <w:pStyle w:val="10"/>
              <w:numPr>
                <w:ilvl w:val="0"/>
                <w:numId w:val="3"/>
              </w:numPr>
              <w:spacing w:line="360" w:lineRule="auto"/>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废水监测结果及评价</w:t>
            </w:r>
          </w:p>
          <w:p>
            <w:pPr>
              <w:spacing w:line="360" w:lineRule="auto"/>
              <w:ind w:left="48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废水水质监测结果见表</w:t>
            </w:r>
            <w:r>
              <w:rPr>
                <w:rFonts w:hint="default" w:ascii="Times New Roman" w:hAnsi="Times New Roman" w:eastAsia="宋体" w:cs="Times New Roman"/>
                <w:color w:val="auto"/>
                <w:sz w:val="24"/>
                <w:szCs w:val="24"/>
                <w:lang w:val="en-US" w:eastAsia="zh-CN"/>
              </w:rPr>
              <w:t>16</w:t>
            </w:r>
            <w:r>
              <w:rPr>
                <w:rFonts w:hint="default" w:ascii="Times New Roman" w:hAnsi="Times New Roman" w:eastAsia="宋体" w:cs="Times New Roman"/>
                <w:color w:val="auto"/>
                <w:sz w:val="24"/>
                <w:szCs w:val="24"/>
                <w:lang w:eastAsia="zh-CN"/>
              </w:rPr>
              <w:t>。</w:t>
            </w:r>
          </w:p>
          <w:p>
            <w:pPr>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表16  项目废水监测结果一览表</w:t>
            </w:r>
          </w:p>
          <w:tbl>
            <w:tblPr>
              <w:tblStyle w:val="18"/>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87"/>
              <w:gridCol w:w="810"/>
              <w:gridCol w:w="652"/>
              <w:gridCol w:w="805"/>
              <w:gridCol w:w="787"/>
              <w:gridCol w:w="810"/>
              <w:gridCol w:w="1130"/>
              <w:gridCol w:w="1228"/>
              <w:gridCol w:w="174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8" w:hRule="atLeast"/>
                <w:jc w:val="center"/>
              </w:trPr>
              <w:tc>
                <w:tcPr>
                  <w:tcW w:w="397" w:type="pct"/>
                  <w:vMerge w:val="restart"/>
                  <w:tcBorders>
                    <w:tl2br w:val="nil"/>
                    <w:tr2bl w:val="nil"/>
                  </w:tcBorders>
                  <w:shd w:val="clear" w:color="auto" w:fill="D7D7D7" w:themeFill="background1" w:themeFillShade="D8"/>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采样</w:t>
                  </w:r>
                </w:p>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点位</w:t>
                  </w:r>
                </w:p>
              </w:tc>
              <w:tc>
                <w:tcPr>
                  <w:tcW w:w="468" w:type="pct"/>
                  <w:vMerge w:val="restart"/>
                  <w:tcBorders>
                    <w:tl2br w:val="nil"/>
                    <w:tr2bl w:val="nil"/>
                  </w:tcBorders>
                  <w:shd w:val="clear" w:color="auto" w:fill="D7D7D7" w:themeFill="background1" w:themeFillShade="D8"/>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检测</w:t>
                  </w:r>
                </w:p>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项目</w:t>
                  </w:r>
                </w:p>
              </w:tc>
              <w:tc>
                <w:tcPr>
                  <w:tcW w:w="376" w:type="pct"/>
                  <w:vMerge w:val="restart"/>
                  <w:tcBorders>
                    <w:tl2br w:val="nil"/>
                    <w:tr2bl w:val="nil"/>
                  </w:tcBorders>
                  <w:shd w:val="clear" w:color="auto" w:fill="D7D7D7" w:themeFill="background1" w:themeFillShade="D8"/>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采样时间</w:t>
                  </w:r>
                </w:p>
              </w:tc>
              <w:tc>
                <w:tcPr>
                  <w:tcW w:w="2041" w:type="pct"/>
                  <w:gridSpan w:val="4"/>
                  <w:tcBorders>
                    <w:tl2br w:val="nil"/>
                    <w:tr2bl w:val="nil"/>
                  </w:tcBorders>
                  <w:shd w:val="clear" w:color="auto" w:fill="D7D7D7" w:themeFill="background1" w:themeFillShade="D8"/>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检测频次及结果</w:t>
                  </w:r>
                  <w:r>
                    <w:rPr>
                      <w:rFonts w:hint="default" w:ascii="Times New Roman" w:hAnsi="Times New Roman" w:eastAsia="宋体" w:cs="Times New Roman"/>
                      <w:b/>
                      <w:bCs/>
                      <w:color w:val="auto"/>
                      <w:sz w:val="21"/>
                      <w:szCs w:val="21"/>
                    </w:rPr>
                    <w:t>（单位：mg/L，pH为无量纲）</w:t>
                  </w:r>
                </w:p>
              </w:tc>
              <w:tc>
                <w:tcPr>
                  <w:tcW w:w="709" w:type="pct"/>
                  <w:vMerge w:val="restart"/>
                  <w:tcBorders>
                    <w:tl2br w:val="nil"/>
                    <w:tr2bl w:val="nil"/>
                  </w:tcBorders>
                  <w:shd w:val="clear" w:color="auto" w:fill="D7D7D7" w:themeFill="background1" w:themeFillShade="D8"/>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两日最大浓度值（</w:t>
                  </w:r>
                  <w:r>
                    <w:rPr>
                      <w:rFonts w:hint="default" w:ascii="Times New Roman" w:hAnsi="Times New Roman" w:eastAsia="宋体" w:cs="Times New Roman"/>
                      <w:b/>
                      <w:bCs/>
                      <w:color w:val="auto"/>
                      <w:sz w:val="21"/>
                      <w:szCs w:val="21"/>
                      <w:lang w:val="en-US" w:eastAsia="zh-CN"/>
                    </w:rPr>
                    <w:t>PH 为浓度范围</w:t>
                  </w:r>
                  <w:r>
                    <w:rPr>
                      <w:rFonts w:hint="default" w:ascii="Times New Roman" w:hAnsi="Times New Roman" w:eastAsia="宋体" w:cs="Times New Roman"/>
                      <w:b/>
                      <w:bCs/>
                      <w:color w:val="auto"/>
                      <w:sz w:val="21"/>
                      <w:szCs w:val="21"/>
                      <w:lang w:eastAsia="zh-CN"/>
                    </w:rPr>
                    <w:t>）</w:t>
                  </w:r>
                </w:p>
              </w:tc>
              <w:tc>
                <w:tcPr>
                  <w:tcW w:w="1006" w:type="pct"/>
                  <w:vMerge w:val="restart"/>
                  <w:tcBorders>
                    <w:tl2br w:val="nil"/>
                    <w:tr2bl w:val="nil"/>
                  </w:tcBorders>
                  <w:shd w:val="clear" w:color="auto" w:fill="D7D7D7" w:themeFill="background1" w:themeFillShade="D8"/>
                  <w:vAlign w:val="center"/>
                </w:tcPr>
                <w:p>
                  <w:pPr>
                    <w:pStyle w:val="10"/>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排放标准限值</w:t>
                  </w:r>
                </w:p>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val="0"/>
                      <w:color w:val="auto"/>
                      <w:kern w:val="2"/>
                      <w:sz w:val="21"/>
                      <w:szCs w:val="21"/>
                      <w:lang w:val="en-US" w:eastAsia="zh-CN"/>
                    </w:rPr>
                    <w:t>mg/L</w:t>
                  </w:r>
                  <w:r>
                    <w:rPr>
                      <w:rFonts w:hint="default" w:ascii="Times New Roman" w:hAnsi="Times New Roman" w:eastAsia="宋体" w:cs="Times New Roman"/>
                      <w:b/>
                      <w:bCs/>
                      <w:color w:val="auto"/>
                      <w:sz w:val="21"/>
                      <w:szCs w:val="21"/>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8" w:hRule="atLeast"/>
                <w:jc w:val="center"/>
              </w:trPr>
              <w:tc>
                <w:tcPr>
                  <w:tcW w:w="397"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bCs/>
                      <w:color w:val="auto"/>
                      <w:sz w:val="21"/>
                      <w:szCs w:val="21"/>
                      <w:lang w:eastAsia="zh-CN"/>
                    </w:rPr>
                  </w:pPr>
                </w:p>
              </w:tc>
              <w:tc>
                <w:tcPr>
                  <w:tcW w:w="468"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bCs/>
                      <w:color w:val="auto"/>
                      <w:sz w:val="21"/>
                      <w:szCs w:val="21"/>
                      <w:lang w:eastAsia="zh-CN"/>
                    </w:rPr>
                  </w:pPr>
                </w:p>
              </w:tc>
              <w:tc>
                <w:tcPr>
                  <w:tcW w:w="376"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bCs/>
                      <w:color w:val="auto"/>
                      <w:sz w:val="21"/>
                      <w:szCs w:val="21"/>
                      <w:lang w:eastAsia="zh-CN"/>
                    </w:rPr>
                  </w:pPr>
                </w:p>
              </w:tc>
              <w:tc>
                <w:tcPr>
                  <w:tcW w:w="465" w:type="pct"/>
                  <w:tcBorders>
                    <w:tl2br w:val="nil"/>
                    <w:tr2bl w:val="nil"/>
                  </w:tcBorders>
                  <w:shd w:val="clear" w:color="auto" w:fill="D7D7D7" w:themeFill="background1" w:themeFillShade="D8"/>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第1次</w:t>
                  </w:r>
                </w:p>
              </w:tc>
              <w:tc>
                <w:tcPr>
                  <w:tcW w:w="454" w:type="pct"/>
                  <w:tcBorders>
                    <w:tl2br w:val="nil"/>
                    <w:tr2bl w:val="nil"/>
                  </w:tcBorders>
                  <w:shd w:val="clear" w:color="auto" w:fill="D7D7D7" w:themeFill="background1" w:themeFillShade="D8"/>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第2次</w:t>
                  </w:r>
                </w:p>
              </w:tc>
              <w:tc>
                <w:tcPr>
                  <w:tcW w:w="468" w:type="pct"/>
                  <w:tcBorders>
                    <w:tl2br w:val="nil"/>
                    <w:tr2bl w:val="nil"/>
                  </w:tcBorders>
                  <w:shd w:val="clear" w:color="auto" w:fill="D7D7D7" w:themeFill="background1" w:themeFillShade="D8"/>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第3次</w:t>
                  </w:r>
                </w:p>
              </w:tc>
              <w:tc>
                <w:tcPr>
                  <w:tcW w:w="653" w:type="pct"/>
                  <w:tcBorders>
                    <w:tl2br w:val="nil"/>
                    <w:tr2bl w:val="nil"/>
                  </w:tcBorders>
                  <w:shd w:val="clear" w:color="auto" w:fill="D7D7D7" w:themeFill="background1" w:themeFillShade="D8"/>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第</w:t>
                  </w:r>
                  <w:r>
                    <w:rPr>
                      <w:rFonts w:hint="default"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lang w:eastAsia="zh-CN"/>
                    </w:rPr>
                    <w:t>次</w:t>
                  </w:r>
                </w:p>
              </w:tc>
              <w:tc>
                <w:tcPr>
                  <w:tcW w:w="709"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bCs/>
                      <w:color w:val="auto"/>
                      <w:sz w:val="21"/>
                      <w:szCs w:val="21"/>
                      <w:lang w:eastAsia="zh-CN"/>
                    </w:rPr>
                  </w:pPr>
                </w:p>
              </w:tc>
              <w:tc>
                <w:tcPr>
                  <w:tcW w:w="1006"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bCs/>
                      <w:color w:val="auto"/>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397" w:type="pct"/>
                  <w:vMerge w:val="restart"/>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lang w:val="en-US" w:eastAsia="zh-CN"/>
                    </w:rPr>
                    <w:t>污水总排放口</w:t>
                  </w:r>
                </w:p>
              </w:tc>
              <w:tc>
                <w:tcPr>
                  <w:tcW w:w="468" w:type="pct"/>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val="en-US" w:eastAsia="zh-CN" w:bidi="ar-SA"/>
                    </w:rPr>
                    <w:t>pH</w:t>
                  </w:r>
                </w:p>
              </w:tc>
              <w:tc>
                <w:tcPr>
                  <w:tcW w:w="37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05</w:t>
                  </w:r>
                </w:p>
              </w:tc>
              <w:tc>
                <w:tcPr>
                  <w:tcW w:w="465"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7.63</w:t>
                  </w:r>
                </w:p>
              </w:tc>
              <w:tc>
                <w:tcPr>
                  <w:tcW w:w="454"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7.54</w:t>
                  </w:r>
                </w:p>
              </w:tc>
              <w:tc>
                <w:tcPr>
                  <w:tcW w:w="468"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7.81</w:t>
                  </w:r>
                </w:p>
              </w:tc>
              <w:tc>
                <w:tcPr>
                  <w:tcW w:w="653"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7.73</w:t>
                  </w:r>
                </w:p>
              </w:tc>
              <w:tc>
                <w:tcPr>
                  <w:tcW w:w="709" w:type="pct"/>
                  <w:vMerge w:val="restart"/>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7.51-8.32</w:t>
                  </w:r>
                </w:p>
              </w:tc>
              <w:tc>
                <w:tcPr>
                  <w:tcW w:w="1006" w:type="pct"/>
                  <w:vMerge w:val="restart"/>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6-9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397"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color w:val="auto"/>
                      <w:sz w:val="21"/>
                      <w:szCs w:val="21"/>
                      <w:lang w:eastAsia="zh-CN"/>
                    </w:rPr>
                  </w:pPr>
                </w:p>
              </w:tc>
              <w:tc>
                <w:tcPr>
                  <w:tcW w:w="468"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color w:val="auto"/>
                      <w:sz w:val="21"/>
                      <w:szCs w:val="21"/>
                      <w:lang w:eastAsia="zh-CN"/>
                    </w:rPr>
                  </w:pPr>
                </w:p>
              </w:tc>
              <w:tc>
                <w:tcPr>
                  <w:tcW w:w="37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06</w:t>
                  </w:r>
                </w:p>
              </w:tc>
              <w:tc>
                <w:tcPr>
                  <w:tcW w:w="465"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8.32</w:t>
                  </w:r>
                </w:p>
              </w:tc>
              <w:tc>
                <w:tcPr>
                  <w:tcW w:w="454"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7.65</w:t>
                  </w:r>
                </w:p>
              </w:tc>
              <w:tc>
                <w:tcPr>
                  <w:tcW w:w="468"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7.81</w:t>
                  </w:r>
                </w:p>
              </w:tc>
              <w:tc>
                <w:tcPr>
                  <w:tcW w:w="653"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7.51</w:t>
                  </w:r>
                </w:p>
              </w:tc>
              <w:tc>
                <w:tcPr>
                  <w:tcW w:w="709"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textAlignment w:val="center"/>
                    <w:rPr>
                      <w:rFonts w:hint="default" w:ascii="Times New Roman" w:hAnsi="Times New Roman" w:eastAsia="宋体" w:cs="Times New Roman"/>
                      <w:b w:val="0"/>
                      <w:bCs w:val="0"/>
                      <w:color w:val="auto"/>
                      <w:sz w:val="21"/>
                      <w:szCs w:val="21"/>
                      <w:lang w:eastAsia="zh-CN"/>
                    </w:rPr>
                  </w:pPr>
                </w:p>
              </w:tc>
              <w:tc>
                <w:tcPr>
                  <w:tcW w:w="1006"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val="0"/>
                      <w:bCs w:val="0"/>
                      <w:color w:val="auto"/>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397"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color w:val="auto"/>
                      <w:sz w:val="21"/>
                      <w:szCs w:val="21"/>
                      <w:lang w:eastAsia="zh-CN"/>
                    </w:rPr>
                  </w:pPr>
                </w:p>
              </w:tc>
              <w:tc>
                <w:tcPr>
                  <w:tcW w:w="468" w:type="pct"/>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val="en-US" w:eastAsia="zh-CN" w:bidi="ar-SA"/>
                    </w:rPr>
                    <w:t>SS</w:t>
                  </w:r>
                </w:p>
              </w:tc>
              <w:tc>
                <w:tcPr>
                  <w:tcW w:w="37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05</w:t>
                  </w:r>
                </w:p>
              </w:tc>
              <w:tc>
                <w:tcPr>
                  <w:tcW w:w="465"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120</w:t>
                  </w:r>
                </w:p>
              </w:tc>
              <w:tc>
                <w:tcPr>
                  <w:tcW w:w="454"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121</w:t>
                  </w:r>
                </w:p>
              </w:tc>
              <w:tc>
                <w:tcPr>
                  <w:tcW w:w="468"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119</w:t>
                  </w:r>
                </w:p>
              </w:tc>
              <w:tc>
                <w:tcPr>
                  <w:tcW w:w="653"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118</w:t>
                  </w:r>
                </w:p>
              </w:tc>
              <w:tc>
                <w:tcPr>
                  <w:tcW w:w="709" w:type="pct"/>
                  <w:vMerge w:val="restart"/>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121</w:t>
                  </w:r>
                </w:p>
              </w:tc>
              <w:tc>
                <w:tcPr>
                  <w:tcW w:w="1006" w:type="pct"/>
                  <w:vMerge w:val="restart"/>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397"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color w:val="auto"/>
                      <w:sz w:val="21"/>
                      <w:szCs w:val="21"/>
                      <w:lang w:eastAsia="zh-CN"/>
                    </w:rPr>
                  </w:pPr>
                </w:p>
              </w:tc>
              <w:tc>
                <w:tcPr>
                  <w:tcW w:w="468"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color w:val="auto"/>
                      <w:sz w:val="21"/>
                      <w:szCs w:val="21"/>
                      <w:lang w:eastAsia="zh-CN"/>
                    </w:rPr>
                  </w:pPr>
                </w:p>
              </w:tc>
              <w:tc>
                <w:tcPr>
                  <w:tcW w:w="37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06</w:t>
                  </w:r>
                </w:p>
              </w:tc>
              <w:tc>
                <w:tcPr>
                  <w:tcW w:w="465"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115</w:t>
                  </w:r>
                </w:p>
              </w:tc>
              <w:tc>
                <w:tcPr>
                  <w:tcW w:w="454"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113</w:t>
                  </w:r>
                </w:p>
              </w:tc>
              <w:tc>
                <w:tcPr>
                  <w:tcW w:w="468"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110</w:t>
                  </w:r>
                </w:p>
              </w:tc>
              <w:tc>
                <w:tcPr>
                  <w:tcW w:w="653"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107</w:t>
                  </w:r>
                </w:p>
              </w:tc>
              <w:tc>
                <w:tcPr>
                  <w:tcW w:w="709"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textAlignment w:val="center"/>
                    <w:rPr>
                      <w:rFonts w:hint="default" w:ascii="Times New Roman" w:hAnsi="Times New Roman" w:eastAsia="宋体" w:cs="Times New Roman"/>
                      <w:b w:val="0"/>
                      <w:bCs w:val="0"/>
                      <w:color w:val="auto"/>
                      <w:sz w:val="21"/>
                      <w:szCs w:val="21"/>
                      <w:lang w:eastAsia="zh-CN"/>
                    </w:rPr>
                  </w:pPr>
                </w:p>
              </w:tc>
              <w:tc>
                <w:tcPr>
                  <w:tcW w:w="1006"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val="0"/>
                      <w:bCs w:val="0"/>
                      <w:color w:val="auto"/>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397"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color w:val="auto"/>
                      <w:sz w:val="21"/>
                      <w:szCs w:val="21"/>
                      <w:lang w:eastAsia="zh-CN"/>
                    </w:rPr>
                  </w:pPr>
                </w:p>
              </w:tc>
              <w:tc>
                <w:tcPr>
                  <w:tcW w:w="468" w:type="pct"/>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val="en-US" w:eastAsia="zh-CN" w:bidi="ar-SA"/>
                    </w:rPr>
                    <w:t>COD</w:t>
                  </w:r>
                </w:p>
              </w:tc>
              <w:tc>
                <w:tcPr>
                  <w:tcW w:w="37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05</w:t>
                  </w:r>
                </w:p>
              </w:tc>
              <w:tc>
                <w:tcPr>
                  <w:tcW w:w="465"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177</w:t>
                  </w:r>
                </w:p>
              </w:tc>
              <w:tc>
                <w:tcPr>
                  <w:tcW w:w="454"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176</w:t>
                  </w:r>
                </w:p>
              </w:tc>
              <w:tc>
                <w:tcPr>
                  <w:tcW w:w="468"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181</w:t>
                  </w:r>
                </w:p>
              </w:tc>
              <w:tc>
                <w:tcPr>
                  <w:tcW w:w="653"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183</w:t>
                  </w:r>
                </w:p>
              </w:tc>
              <w:tc>
                <w:tcPr>
                  <w:tcW w:w="709" w:type="pct"/>
                  <w:vMerge w:val="restart"/>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183</w:t>
                  </w:r>
                </w:p>
              </w:tc>
              <w:tc>
                <w:tcPr>
                  <w:tcW w:w="1006" w:type="pct"/>
                  <w:vMerge w:val="restart"/>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397"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color w:val="auto"/>
                      <w:sz w:val="21"/>
                      <w:szCs w:val="21"/>
                      <w:lang w:eastAsia="zh-CN"/>
                    </w:rPr>
                  </w:pPr>
                </w:p>
              </w:tc>
              <w:tc>
                <w:tcPr>
                  <w:tcW w:w="468"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color w:val="auto"/>
                      <w:sz w:val="21"/>
                      <w:szCs w:val="21"/>
                      <w:lang w:eastAsia="zh-CN"/>
                    </w:rPr>
                  </w:pPr>
                </w:p>
              </w:tc>
              <w:tc>
                <w:tcPr>
                  <w:tcW w:w="37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06</w:t>
                  </w:r>
                </w:p>
              </w:tc>
              <w:tc>
                <w:tcPr>
                  <w:tcW w:w="465"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180</w:t>
                  </w:r>
                </w:p>
              </w:tc>
              <w:tc>
                <w:tcPr>
                  <w:tcW w:w="454"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176</w:t>
                  </w:r>
                </w:p>
              </w:tc>
              <w:tc>
                <w:tcPr>
                  <w:tcW w:w="468"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178</w:t>
                  </w:r>
                </w:p>
              </w:tc>
              <w:tc>
                <w:tcPr>
                  <w:tcW w:w="653"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181</w:t>
                  </w:r>
                </w:p>
              </w:tc>
              <w:tc>
                <w:tcPr>
                  <w:tcW w:w="709"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textAlignment w:val="center"/>
                    <w:rPr>
                      <w:rFonts w:hint="default" w:ascii="Times New Roman" w:hAnsi="Times New Roman" w:eastAsia="宋体" w:cs="Times New Roman"/>
                      <w:b w:val="0"/>
                      <w:bCs w:val="0"/>
                      <w:color w:val="auto"/>
                      <w:sz w:val="21"/>
                      <w:szCs w:val="21"/>
                      <w:lang w:eastAsia="zh-CN"/>
                    </w:rPr>
                  </w:pPr>
                </w:p>
              </w:tc>
              <w:tc>
                <w:tcPr>
                  <w:tcW w:w="1006"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val="0"/>
                      <w:bCs w:val="0"/>
                      <w:color w:val="auto"/>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397"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color w:val="auto"/>
                      <w:sz w:val="21"/>
                      <w:szCs w:val="21"/>
                      <w:lang w:eastAsia="zh-CN"/>
                    </w:rPr>
                  </w:pPr>
                </w:p>
              </w:tc>
              <w:tc>
                <w:tcPr>
                  <w:tcW w:w="468" w:type="pct"/>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val="en-US" w:eastAsia="zh-CN" w:bidi="ar-SA"/>
                    </w:rPr>
                    <w:t>BOD</w:t>
                  </w:r>
                  <w:r>
                    <w:rPr>
                      <w:rFonts w:hint="eastAsia" w:ascii="宋体" w:hAnsi="宋体" w:eastAsia="宋体" w:cs="宋体"/>
                      <w:color w:val="auto"/>
                      <w:kern w:val="2"/>
                      <w:sz w:val="21"/>
                      <w:szCs w:val="21"/>
                      <w:vertAlign w:val="subscript"/>
                      <w:lang w:val="en-US" w:eastAsia="zh-CN" w:bidi="ar-SA"/>
                    </w:rPr>
                    <w:t>5</w:t>
                  </w:r>
                </w:p>
              </w:tc>
              <w:tc>
                <w:tcPr>
                  <w:tcW w:w="37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05</w:t>
                  </w:r>
                </w:p>
              </w:tc>
              <w:tc>
                <w:tcPr>
                  <w:tcW w:w="465"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46.6</w:t>
                  </w:r>
                </w:p>
              </w:tc>
              <w:tc>
                <w:tcPr>
                  <w:tcW w:w="454"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42.3</w:t>
                  </w:r>
                </w:p>
              </w:tc>
              <w:tc>
                <w:tcPr>
                  <w:tcW w:w="468"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49.8</w:t>
                  </w:r>
                </w:p>
              </w:tc>
              <w:tc>
                <w:tcPr>
                  <w:tcW w:w="653"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47.8</w:t>
                  </w:r>
                </w:p>
              </w:tc>
              <w:tc>
                <w:tcPr>
                  <w:tcW w:w="709" w:type="pct"/>
                  <w:vMerge w:val="restart"/>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49.8</w:t>
                  </w:r>
                </w:p>
              </w:tc>
              <w:tc>
                <w:tcPr>
                  <w:tcW w:w="1006" w:type="pct"/>
                  <w:vMerge w:val="restart"/>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397"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color w:val="auto"/>
                      <w:sz w:val="21"/>
                      <w:szCs w:val="21"/>
                      <w:lang w:eastAsia="zh-CN"/>
                    </w:rPr>
                  </w:pPr>
                </w:p>
              </w:tc>
              <w:tc>
                <w:tcPr>
                  <w:tcW w:w="468"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color w:val="auto"/>
                      <w:sz w:val="21"/>
                      <w:szCs w:val="21"/>
                      <w:lang w:eastAsia="zh-CN"/>
                    </w:rPr>
                  </w:pPr>
                </w:p>
              </w:tc>
              <w:tc>
                <w:tcPr>
                  <w:tcW w:w="37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06</w:t>
                  </w:r>
                </w:p>
              </w:tc>
              <w:tc>
                <w:tcPr>
                  <w:tcW w:w="465"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46.6</w:t>
                  </w:r>
                </w:p>
              </w:tc>
              <w:tc>
                <w:tcPr>
                  <w:tcW w:w="454"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44.6</w:t>
                  </w:r>
                </w:p>
              </w:tc>
              <w:tc>
                <w:tcPr>
                  <w:tcW w:w="468"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47.4</w:t>
                  </w:r>
                </w:p>
              </w:tc>
              <w:tc>
                <w:tcPr>
                  <w:tcW w:w="653"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47.8</w:t>
                  </w:r>
                </w:p>
              </w:tc>
              <w:tc>
                <w:tcPr>
                  <w:tcW w:w="709"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textAlignment w:val="center"/>
                    <w:rPr>
                      <w:rFonts w:hint="default" w:ascii="Times New Roman" w:hAnsi="Times New Roman" w:eastAsia="宋体" w:cs="Times New Roman"/>
                      <w:b w:val="0"/>
                      <w:bCs w:val="0"/>
                      <w:color w:val="auto"/>
                      <w:sz w:val="21"/>
                      <w:szCs w:val="21"/>
                      <w:lang w:eastAsia="zh-CN"/>
                    </w:rPr>
                  </w:pPr>
                </w:p>
              </w:tc>
              <w:tc>
                <w:tcPr>
                  <w:tcW w:w="1006"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val="0"/>
                      <w:bCs w:val="0"/>
                      <w:color w:val="auto"/>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397"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color w:val="auto"/>
                      <w:sz w:val="21"/>
                      <w:szCs w:val="21"/>
                      <w:lang w:eastAsia="zh-CN"/>
                    </w:rPr>
                  </w:pPr>
                </w:p>
              </w:tc>
              <w:tc>
                <w:tcPr>
                  <w:tcW w:w="468" w:type="pct"/>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val="en-US" w:eastAsia="zh-CN" w:bidi="ar-SA"/>
                    </w:rPr>
                    <w:t>氨氮</w:t>
                  </w:r>
                </w:p>
              </w:tc>
              <w:tc>
                <w:tcPr>
                  <w:tcW w:w="37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05</w:t>
                  </w:r>
                </w:p>
              </w:tc>
              <w:tc>
                <w:tcPr>
                  <w:tcW w:w="465"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0.735</w:t>
                  </w:r>
                </w:p>
              </w:tc>
              <w:tc>
                <w:tcPr>
                  <w:tcW w:w="454"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0.754</w:t>
                  </w:r>
                </w:p>
              </w:tc>
              <w:tc>
                <w:tcPr>
                  <w:tcW w:w="468"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0.745</w:t>
                  </w:r>
                </w:p>
              </w:tc>
              <w:tc>
                <w:tcPr>
                  <w:tcW w:w="653"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0.775</w:t>
                  </w:r>
                </w:p>
              </w:tc>
              <w:tc>
                <w:tcPr>
                  <w:tcW w:w="709" w:type="pct"/>
                  <w:vMerge w:val="restart"/>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0.775</w:t>
                  </w:r>
                </w:p>
              </w:tc>
              <w:tc>
                <w:tcPr>
                  <w:tcW w:w="1006" w:type="pct"/>
                  <w:vMerge w:val="restart"/>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397"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color w:val="auto"/>
                      <w:sz w:val="21"/>
                      <w:szCs w:val="21"/>
                      <w:lang w:eastAsia="zh-CN"/>
                    </w:rPr>
                  </w:pPr>
                </w:p>
              </w:tc>
              <w:tc>
                <w:tcPr>
                  <w:tcW w:w="468"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eastAsia" w:ascii="宋体" w:hAnsi="宋体" w:eastAsia="宋体" w:cs="宋体"/>
                      <w:color w:val="auto"/>
                      <w:sz w:val="21"/>
                      <w:szCs w:val="21"/>
                      <w:lang w:eastAsia="zh-CN"/>
                    </w:rPr>
                  </w:pPr>
                </w:p>
              </w:tc>
              <w:tc>
                <w:tcPr>
                  <w:tcW w:w="37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06</w:t>
                  </w:r>
                </w:p>
              </w:tc>
              <w:tc>
                <w:tcPr>
                  <w:tcW w:w="465"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0.506</w:t>
                  </w:r>
                </w:p>
              </w:tc>
              <w:tc>
                <w:tcPr>
                  <w:tcW w:w="454"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0.517</w:t>
                  </w:r>
                </w:p>
              </w:tc>
              <w:tc>
                <w:tcPr>
                  <w:tcW w:w="468"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0.477</w:t>
                  </w:r>
                </w:p>
              </w:tc>
              <w:tc>
                <w:tcPr>
                  <w:tcW w:w="653"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0.493</w:t>
                  </w:r>
                </w:p>
              </w:tc>
              <w:tc>
                <w:tcPr>
                  <w:tcW w:w="709"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textAlignment w:val="center"/>
                    <w:rPr>
                      <w:rFonts w:hint="default" w:ascii="Times New Roman" w:hAnsi="Times New Roman" w:eastAsia="宋体" w:cs="Times New Roman"/>
                      <w:b w:val="0"/>
                      <w:bCs w:val="0"/>
                      <w:color w:val="auto"/>
                      <w:sz w:val="21"/>
                      <w:szCs w:val="21"/>
                      <w:lang w:eastAsia="zh-CN"/>
                    </w:rPr>
                  </w:pPr>
                </w:p>
              </w:tc>
              <w:tc>
                <w:tcPr>
                  <w:tcW w:w="1006"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val="0"/>
                      <w:bCs w:val="0"/>
                      <w:color w:val="auto"/>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397"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color w:val="auto"/>
                      <w:sz w:val="21"/>
                      <w:szCs w:val="21"/>
                      <w:lang w:eastAsia="zh-CN"/>
                    </w:rPr>
                  </w:pPr>
                </w:p>
              </w:tc>
              <w:tc>
                <w:tcPr>
                  <w:tcW w:w="468" w:type="pct"/>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val="en-US" w:eastAsia="zh-CN" w:bidi="ar-SA"/>
                    </w:rPr>
                    <w:t>总磷</w:t>
                  </w:r>
                </w:p>
              </w:tc>
              <w:tc>
                <w:tcPr>
                  <w:tcW w:w="37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05</w:t>
                  </w:r>
                </w:p>
              </w:tc>
              <w:tc>
                <w:tcPr>
                  <w:tcW w:w="465"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1.77</w:t>
                  </w:r>
                </w:p>
              </w:tc>
              <w:tc>
                <w:tcPr>
                  <w:tcW w:w="454"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1.75</w:t>
                  </w:r>
                </w:p>
              </w:tc>
              <w:tc>
                <w:tcPr>
                  <w:tcW w:w="468"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1.81</w:t>
                  </w:r>
                </w:p>
              </w:tc>
              <w:tc>
                <w:tcPr>
                  <w:tcW w:w="653"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1.71</w:t>
                  </w:r>
                </w:p>
              </w:tc>
              <w:tc>
                <w:tcPr>
                  <w:tcW w:w="709" w:type="pct"/>
                  <w:vMerge w:val="restart"/>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1.81</w:t>
                  </w:r>
                </w:p>
              </w:tc>
              <w:tc>
                <w:tcPr>
                  <w:tcW w:w="1006" w:type="pct"/>
                  <w:vMerge w:val="restart"/>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19" w:hRule="atLeast"/>
                <w:jc w:val="center"/>
              </w:trPr>
              <w:tc>
                <w:tcPr>
                  <w:tcW w:w="397"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color w:val="auto"/>
                      <w:sz w:val="21"/>
                      <w:szCs w:val="21"/>
                      <w:lang w:eastAsia="zh-CN"/>
                    </w:rPr>
                  </w:pPr>
                </w:p>
              </w:tc>
              <w:tc>
                <w:tcPr>
                  <w:tcW w:w="468"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lang w:val="en-US" w:eastAsia="zh-CN" w:bidi="ar-SA"/>
                    </w:rPr>
                  </w:pPr>
                </w:p>
              </w:tc>
              <w:tc>
                <w:tcPr>
                  <w:tcW w:w="37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06</w:t>
                  </w:r>
                </w:p>
              </w:tc>
              <w:tc>
                <w:tcPr>
                  <w:tcW w:w="465"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1.71</w:t>
                  </w:r>
                </w:p>
              </w:tc>
              <w:tc>
                <w:tcPr>
                  <w:tcW w:w="454"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1.68</w:t>
                  </w:r>
                </w:p>
              </w:tc>
              <w:tc>
                <w:tcPr>
                  <w:tcW w:w="468"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1.73</w:t>
                  </w:r>
                </w:p>
              </w:tc>
              <w:tc>
                <w:tcPr>
                  <w:tcW w:w="653"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1.61</w:t>
                  </w:r>
                </w:p>
              </w:tc>
              <w:tc>
                <w:tcPr>
                  <w:tcW w:w="709"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textAlignment w:val="center"/>
                    <w:rPr>
                      <w:rFonts w:hint="default" w:ascii="Times New Roman" w:hAnsi="Times New Roman" w:eastAsia="宋体" w:cs="Times New Roman"/>
                      <w:b w:val="0"/>
                      <w:bCs w:val="0"/>
                      <w:color w:val="auto"/>
                      <w:sz w:val="21"/>
                      <w:szCs w:val="21"/>
                      <w:lang w:eastAsia="zh-CN"/>
                    </w:rPr>
                  </w:pPr>
                </w:p>
              </w:tc>
              <w:tc>
                <w:tcPr>
                  <w:tcW w:w="1006"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val="0"/>
                      <w:bCs w:val="0"/>
                      <w:color w:val="auto"/>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92" w:hRule="atLeast"/>
                <w:jc w:val="center"/>
              </w:trPr>
              <w:tc>
                <w:tcPr>
                  <w:tcW w:w="397"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color w:val="auto"/>
                      <w:sz w:val="21"/>
                      <w:szCs w:val="21"/>
                      <w:lang w:eastAsia="zh-CN"/>
                    </w:rPr>
                  </w:pPr>
                </w:p>
              </w:tc>
              <w:tc>
                <w:tcPr>
                  <w:tcW w:w="468" w:type="pct"/>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val="en-US" w:eastAsia="zh-CN" w:bidi="ar-SA"/>
                    </w:rPr>
                    <w:t>总氮</w:t>
                  </w:r>
                </w:p>
              </w:tc>
              <w:tc>
                <w:tcPr>
                  <w:tcW w:w="37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05</w:t>
                  </w:r>
                </w:p>
              </w:tc>
              <w:tc>
                <w:tcPr>
                  <w:tcW w:w="465"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6.54</w:t>
                  </w:r>
                </w:p>
              </w:tc>
              <w:tc>
                <w:tcPr>
                  <w:tcW w:w="454"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6.51</w:t>
                  </w:r>
                </w:p>
              </w:tc>
              <w:tc>
                <w:tcPr>
                  <w:tcW w:w="468"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6.19</w:t>
                  </w:r>
                </w:p>
              </w:tc>
              <w:tc>
                <w:tcPr>
                  <w:tcW w:w="653"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6.59</w:t>
                  </w:r>
                </w:p>
              </w:tc>
              <w:tc>
                <w:tcPr>
                  <w:tcW w:w="709" w:type="pct"/>
                  <w:vMerge w:val="restart"/>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6.59</w:t>
                  </w:r>
                </w:p>
              </w:tc>
              <w:tc>
                <w:tcPr>
                  <w:tcW w:w="1006" w:type="pct"/>
                  <w:vMerge w:val="restart"/>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397"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color w:val="auto"/>
                      <w:sz w:val="21"/>
                      <w:szCs w:val="21"/>
                      <w:lang w:eastAsia="zh-CN"/>
                    </w:rPr>
                  </w:pPr>
                </w:p>
              </w:tc>
              <w:tc>
                <w:tcPr>
                  <w:tcW w:w="468"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lang w:val="en-US" w:eastAsia="zh-CN" w:bidi="ar-SA"/>
                    </w:rPr>
                  </w:pPr>
                </w:p>
              </w:tc>
              <w:tc>
                <w:tcPr>
                  <w:tcW w:w="37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06</w:t>
                  </w:r>
                </w:p>
              </w:tc>
              <w:tc>
                <w:tcPr>
                  <w:tcW w:w="465"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5.27</w:t>
                  </w:r>
                </w:p>
              </w:tc>
              <w:tc>
                <w:tcPr>
                  <w:tcW w:w="454"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5.77</w:t>
                  </w:r>
                </w:p>
              </w:tc>
              <w:tc>
                <w:tcPr>
                  <w:tcW w:w="468"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6.03</w:t>
                  </w:r>
                </w:p>
              </w:tc>
              <w:tc>
                <w:tcPr>
                  <w:tcW w:w="653"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5.85</w:t>
                  </w:r>
                </w:p>
              </w:tc>
              <w:tc>
                <w:tcPr>
                  <w:tcW w:w="709"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textAlignment w:val="center"/>
                    <w:rPr>
                      <w:rFonts w:hint="default" w:ascii="Times New Roman" w:hAnsi="Times New Roman" w:eastAsia="宋体" w:cs="Times New Roman"/>
                      <w:b w:val="0"/>
                      <w:bCs w:val="0"/>
                      <w:color w:val="auto"/>
                      <w:sz w:val="21"/>
                      <w:szCs w:val="21"/>
                      <w:lang w:eastAsia="zh-CN"/>
                    </w:rPr>
                  </w:pPr>
                </w:p>
              </w:tc>
              <w:tc>
                <w:tcPr>
                  <w:tcW w:w="1006"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val="0"/>
                      <w:bCs w:val="0"/>
                      <w:color w:val="auto"/>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397"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color w:val="auto"/>
                      <w:sz w:val="21"/>
                      <w:szCs w:val="21"/>
                      <w:lang w:eastAsia="zh-CN"/>
                    </w:rPr>
                  </w:pPr>
                </w:p>
              </w:tc>
              <w:tc>
                <w:tcPr>
                  <w:tcW w:w="468" w:type="pct"/>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val="en-US" w:eastAsia="zh-CN" w:bidi="ar-SA"/>
                    </w:rPr>
                    <w:t>TOC</w:t>
                  </w:r>
                </w:p>
              </w:tc>
              <w:tc>
                <w:tcPr>
                  <w:tcW w:w="37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05</w:t>
                  </w:r>
                </w:p>
              </w:tc>
              <w:tc>
                <w:tcPr>
                  <w:tcW w:w="465"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16.3</w:t>
                  </w:r>
                </w:p>
              </w:tc>
              <w:tc>
                <w:tcPr>
                  <w:tcW w:w="454"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17.8</w:t>
                  </w:r>
                </w:p>
              </w:tc>
              <w:tc>
                <w:tcPr>
                  <w:tcW w:w="468"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17.0</w:t>
                  </w:r>
                </w:p>
              </w:tc>
              <w:tc>
                <w:tcPr>
                  <w:tcW w:w="653"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16.8</w:t>
                  </w:r>
                </w:p>
              </w:tc>
              <w:tc>
                <w:tcPr>
                  <w:tcW w:w="709" w:type="pct"/>
                  <w:vMerge w:val="restart"/>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17.8</w:t>
                  </w:r>
                </w:p>
              </w:tc>
              <w:tc>
                <w:tcPr>
                  <w:tcW w:w="1006" w:type="pct"/>
                  <w:vMerge w:val="restart"/>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397"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color w:val="auto"/>
                      <w:sz w:val="21"/>
                      <w:szCs w:val="21"/>
                      <w:lang w:eastAsia="zh-CN"/>
                    </w:rPr>
                  </w:pPr>
                </w:p>
              </w:tc>
              <w:tc>
                <w:tcPr>
                  <w:tcW w:w="468"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olor w:val="auto"/>
                      <w:kern w:val="2"/>
                      <w:sz w:val="21"/>
                      <w:szCs w:val="21"/>
                      <w:lang w:val="en-US" w:eastAsia="zh-CN" w:bidi="ar-SA"/>
                    </w:rPr>
                  </w:pPr>
                </w:p>
              </w:tc>
              <w:tc>
                <w:tcPr>
                  <w:tcW w:w="37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06</w:t>
                  </w:r>
                </w:p>
              </w:tc>
              <w:tc>
                <w:tcPr>
                  <w:tcW w:w="465"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16.3</w:t>
                  </w:r>
                </w:p>
              </w:tc>
              <w:tc>
                <w:tcPr>
                  <w:tcW w:w="454"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17.8</w:t>
                  </w:r>
                </w:p>
              </w:tc>
              <w:tc>
                <w:tcPr>
                  <w:tcW w:w="468"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17.0</w:t>
                  </w:r>
                </w:p>
              </w:tc>
              <w:tc>
                <w:tcPr>
                  <w:tcW w:w="653"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16.8</w:t>
                  </w:r>
                </w:p>
              </w:tc>
              <w:tc>
                <w:tcPr>
                  <w:tcW w:w="709"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textAlignment w:val="center"/>
                    <w:rPr>
                      <w:rFonts w:hint="default" w:ascii="Times New Roman" w:hAnsi="Times New Roman" w:eastAsia="宋体" w:cs="Times New Roman"/>
                      <w:b w:val="0"/>
                      <w:bCs w:val="0"/>
                      <w:color w:val="auto"/>
                      <w:sz w:val="21"/>
                      <w:szCs w:val="21"/>
                      <w:lang w:eastAsia="zh-CN"/>
                    </w:rPr>
                  </w:pPr>
                </w:p>
              </w:tc>
              <w:tc>
                <w:tcPr>
                  <w:tcW w:w="1006" w:type="pct"/>
                  <w:vMerge w:val="continue"/>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jc w:val="center"/>
                    <w:rPr>
                      <w:rFonts w:hint="default" w:ascii="Times New Roman" w:hAnsi="Times New Roman" w:eastAsia="宋体" w:cs="Times New Roman"/>
                      <w:b w:val="0"/>
                      <w:bCs w:val="0"/>
                      <w:color w:val="auto"/>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000" w:type="pct"/>
                  <w:gridSpan w:val="9"/>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contextualSpacing/>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val="en-US" w:eastAsia="zh-CN" w:bidi="ar"/>
                    </w:rPr>
                    <w:t>备注：“ND”表示检测结果小于方法检出限,未检出：</w:t>
                  </w:r>
                </w:p>
              </w:tc>
            </w:tr>
          </w:tbl>
          <w:p>
            <w:pPr>
              <w:spacing w:line="360" w:lineRule="auto"/>
              <w:ind w:firstLine="482"/>
              <w:contextualSpacing/>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厂区内各生产车间产生的工艺废水及生活污水均排入厂区污水处理站进行综合处理，厂区污水总排放口各污染物排放浓度均高于本项目车间污水排放口出口浓度。根据上表的监测数据表明，污水总排放口各监测因子监测结果为：pH范围</w:t>
            </w:r>
            <w:r>
              <w:rPr>
                <w:rFonts w:hint="default" w:ascii="Times New Roman" w:hAnsi="Times New Roman" w:eastAsia="宋体" w:cs="Times New Roman"/>
                <w:b w:val="0"/>
                <w:bCs w:val="0"/>
                <w:color w:val="auto"/>
                <w:kern w:val="2"/>
                <w:sz w:val="24"/>
                <w:szCs w:val="24"/>
                <w:lang w:val="en-US" w:eastAsia="zh-CN"/>
              </w:rPr>
              <w:t>7.51-8.32</w:t>
            </w:r>
            <w:r>
              <w:rPr>
                <w:rFonts w:hint="default" w:ascii="Times New Roman" w:hAnsi="Times New Roman" w:eastAsia="宋体" w:cs="Times New Roman"/>
                <w:color w:val="auto"/>
                <w:sz w:val="24"/>
                <w:szCs w:val="24"/>
                <w:lang w:eastAsia="zh-CN"/>
              </w:rPr>
              <w:t>、COD</w:t>
            </w:r>
            <w:r>
              <w:rPr>
                <w:rFonts w:hint="default" w:ascii="Times New Roman" w:hAnsi="Times New Roman" w:eastAsia="宋体" w:cs="Times New Roman"/>
                <w:color w:val="auto"/>
                <w:sz w:val="24"/>
                <w:szCs w:val="24"/>
                <w:vertAlign w:val="subscript"/>
                <w:lang w:val="en-US" w:eastAsia="zh-CN"/>
              </w:rPr>
              <w:t>Cr</w:t>
            </w:r>
            <w:r>
              <w:rPr>
                <w:rFonts w:hint="default" w:ascii="Times New Roman" w:hAnsi="Times New Roman" w:eastAsia="宋体" w:cs="Times New Roman"/>
                <w:color w:val="auto"/>
                <w:sz w:val="24"/>
                <w:szCs w:val="24"/>
                <w:lang w:eastAsia="zh-CN"/>
              </w:rPr>
              <w:t>最大监测浓度为</w:t>
            </w:r>
            <w:r>
              <w:rPr>
                <w:rFonts w:hint="default" w:ascii="Times New Roman" w:hAnsi="Times New Roman" w:eastAsia="宋体" w:cs="Times New Roman"/>
                <w:b w:val="0"/>
                <w:bCs w:val="0"/>
                <w:color w:val="auto"/>
                <w:kern w:val="0"/>
                <w:sz w:val="24"/>
                <w:szCs w:val="24"/>
                <w:highlight w:val="none"/>
                <w:lang w:val="en-US" w:eastAsia="zh-CN"/>
              </w:rPr>
              <w:t>183</w:t>
            </w:r>
            <w:r>
              <w:rPr>
                <w:rFonts w:hint="default" w:ascii="Times New Roman" w:hAnsi="Times New Roman" w:eastAsia="宋体" w:cs="Times New Roman"/>
                <w:color w:val="auto"/>
                <w:sz w:val="24"/>
                <w:szCs w:val="24"/>
                <w:lang w:eastAsia="zh-CN"/>
              </w:rPr>
              <w:t>mg/L，BOD</w:t>
            </w:r>
            <w:r>
              <w:rPr>
                <w:rFonts w:hint="default" w:ascii="Times New Roman" w:hAnsi="Times New Roman" w:eastAsia="宋体" w:cs="Times New Roman"/>
                <w:color w:val="auto"/>
                <w:sz w:val="24"/>
                <w:szCs w:val="24"/>
                <w:vertAlign w:val="subscript"/>
                <w:lang w:eastAsia="zh-CN"/>
              </w:rPr>
              <w:t>5</w:t>
            </w:r>
            <w:r>
              <w:rPr>
                <w:rFonts w:hint="default" w:ascii="Times New Roman" w:hAnsi="Times New Roman" w:eastAsia="宋体" w:cs="Times New Roman"/>
                <w:color w:val="auto"/>
                <w:sz w:val="24"/>
                <w:szCs w:val="24"/>
                <w:lang w:eastAsia="zh-CN"/>
              </w:rPr>
              <w:t>最大监测浓度为</w:t>
            </w:r>
            <w:r>
              <w:rPr>
                <w:rFonts w:hint="default" w:ascii="Times New Roman" w:hAnsi="Times New Roman" w:eastAsia="宋体" w:cs="Times New Roman"/>
                <w:b w:val="0"/>
                <w:bCs w:val="0"/>
                <w:color w:val="auto"/>
                <w:sz w:val="24"/>
                <w:szCs w:val="24"/>
                <w:lang w:val="en-US" w:eastAsia="zh-CN"/>
              </w:rPr>
              <w:t>49.8</w:t>
            </w:r>
            <w:r>
              <w:rPr>
                <w:rFonts w:hint="default" w:ascii="Times New Roman" w:hAnsi="Times New Roman" w:eastAsia="宋体" w:cs="Times New Roman"/>
                <w:color w:val="auto"/>
                <w:sz w:val="24"/>
                <w:szCs w:val="24"/>
                <w:lang w:eastAsia="zh-CN"/>
              </w:rPr>
              <w:t>mg/L，氨氮最大监测浓度为</w:t>
            </w:r>
            <w:r>
              <w:rPr>
                <w:rFonts w:hint="default" w:ascii="Times New Roman" w:hAnsi="Times New Roman" w:eastAsia="宋体" w:cs="Times New Roman"/>
                <w:b w:val="0"/>
                <w:bCs w:val="0"/>
                <w:color w:val="auto"/>
                <w:sz w:val="24"/>
                <w:szCs w:val="24"/>
                <w:lang w:val="en-US" w:eastAsia="zh-CN"/>
              </w:rPr>
              <w:t>0.775</w:t>
            </w:r>
            <w:r>
              <w:rPr>
                <w:rFonts w:hint="default" w:ascii="Times New Roman" w:hAnsi="Times New Roman" w:eastAsia="宋体" w:cs="Times New Roman"/>
                <w:color w:val="auto"/>
                <w:sz w:val="24"/>
                <w:szCs w:val="24"/>
                <w:lang w:eastAsia="zh-CN"/>
              </w:rPr>
              <w:t>mg/L，</w:t>
            </w:r>
            <w:r>
              <w:rPr>
                <w:rFonts w:hint="default" w:ascii="Times New Roman" w:hAnsi="Times New Roman" w:eastAsia="宋体" w:cs="Times New Roman"/>
                <w:color w:val="auto"/>
                <w:sz w:val="24"/>
                <w:szCs w:val="24"/>
                <w:lang w:val="en-US" w:eastAsia="zh-CN"/>
              </w:rPr>
              <w:t>SS</w:t>
            </w:r>
            <w:r>
              <w:rPr>
                <w:rFonts w:hint="default" w:ascii="Times New Roman" w:hAnsi="Times New Roman" w:eastAsia="宋体" w:cs="Times New Roman"/>
                <w:color w:val="auto"/>
                <w:sz w:val="24"/>
                <w:szCs w:val="24"/>
                <w:lang w:eastAsia="zh-CN"/>
              </w:rPr>
              <w:t>最大监测浓度为</w:t>
            </w:r>
            <w:r>
              <w:rPr>
                <w:rFonts w:hint="default" w:ascii="Times New Roman" w:hAnsi="Times New Roman" w:eastAsia="宋体" w:cs="Times New Roman"/>
                <w:b w:val="0"/>
                <w:bCs w:val="0"/>
                <w:color w:val="auto"/>
                <w:sz w:val="24"/>
                <w:szCs w:val="24"/>
                <w:lang w:val="en-US" w:eastAsia="zh-CN"/>
              </w:rPr>
              <w:t>121</w:t>
            </w:r>
            <w:r>
              <w:rPr>
                <w:rFonts w:hint="default" w:ascii="Times New Roman" w:hAnsi="Times New Roman" w:eastAsia="宋体" w:cs="Times New Roman"/>
                <w:color w:val="auto"/>
                <w:sz w:val="24"/>
                <w:szCs w:val="24"/>
                <w:lang w:eastAsia="zh-CN"/>
              </w:rPr>
              <w:t>mg/L，污水总排放口验收监测期间各监测因子浓度均符合《污水排放综合标准》（GB8978-1996）三级标准（罗家坡污水处理厂进水标准要求为《污水综合排放标准》三级标准。</w:t>
            </w:r>
          </w:p>
          <w:p>
            <w:pPr>
              <w:pStyle w:val="10"/>
              <w:numPr>
                <w:ilvl w:val="0"/>
                <w:numId w:val="3"/>
              </w:numPr>
              <w:spacing w:line="360" w:lineRule="auto"/>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废气监测结果及评价</w:t>
            </w:r>
          </w:p>
          <w:p>
            <w:pPr>
              <w:spacing w:line="360" w:lineRule="auto"/>
              <w:ind w:firstLine="464" w:firstLineChars="200"/>
              <w:jc w:val="both"/>
              <w:rPr>
                <w:rFonts w:hint="default" w:ascii="Times New Roman" w:hAnsi="Times New Roman" w:eastAsia="宋体" w:cs="Times New Roman"/>
                <w:b w:val="0"/>
                <w:bCs w:val="0"/>
                <w:color w:val="auto"/>
                <w:spacing w:val="-4"/>
                <w:sz w:val="24"/>
                <w:szCs w:val="24"/>
                <w:lang w:val="en-US" w:eastAsia="zh-CN"/>
              </w:rPr>
            </w:pPr>
            <w:bookmarkStart w:id="2" w:name="_Toc11003"/>
            <w:bookmarkStart w:id="3" w:name="_Toc4312_WPSOffice_Level2"/>
            <w:r>
              <w:rPr>
                <w:rFonts w:hint="default" w:ascii="Times New Roman" w:hAnsi="Times New Roman" w:eastAsia="宋体" w:cs="Times New Roman"/>
                <w:b w:val="0"/>
                <w:bCs w:val="0"/>
                <w:color w:val="auto"/>
                <w:spacing w:val="-4"/>
                <w:sz w:val="24"/>
                <w:szCs w:val="24"/>
                <w:lang w:val="en-US" w:eastAsia="zh-CN"/>
              </w:rPr>
              <w:t>（1）有组织排放</w:t>
            </w:r>
            <w:bookmarkEnd w:id="2"/>
            <w:bookmarkEnd w:id="3"/>
          </w:p>
          <w:p>
            <w:pPr>
              <w:spacing w:line="360" w:lineRule="auto"/>
              <w:ind w:firstLine="480" w:firstLineChars="200"/>
              <w:jc w:val="both"/>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食堂油烟</w:t>
            </w:r>
          </w:p>
          <w:p>
            <w:pPr>
              <w:spacing w:line="360" w:lineRule="auto"/>
              <w:ind w:firstLine="482"/>
              <w:contextualSpacing/>
              <w:jc w:val="both"/>
              <w:rPr>
                <w:rFonts w:hint="default" w:ascii="Times New Roman" w:hAnsi="Times New Roman" w:eastAsia="宋体" w:cs="Times New Roman"/>
                <w:color w:val="auto"/>
                <w:spacing w:val="-4"/>
                <w:sz w:val="24"/>
                <w:szCs w:val="24"/>
                <w:lang w:val="en-US" w:eastAsia="zh-CN"/>
              </w:rPr>
            </w:pPr>
            <w:r>
              <w:rPr>
                <w:rFonts w:hint="eastAsia" w:ascii="Times New Roman" w:hAnsi="Times New Roman" w:eastAsia="宋体" w:cs="Times New Roman"/>
                <w:color w:val="auto"/>
                <w:spacing w:val="-4"/>
                <w:sz w:val="24"/>
                <w:szCs w:val="24"/>
                <w:lang w:val="en-US" w:eastAsia="zh-CN"/>
              </w:rPr>
              <w:t>本项目食堂油烟净化设施油烟浓度监测结果为1.0mg/m</w:t>
            </w:r>
            <w:r>
              <w:rPr>
                <w:rFonts w:hint="eastAsia" w:ascii="Times New Roman" w:hAnsi="Times New Roman" w:eastAsia="宋体" w:cs="Times New Roman"/>
                <w:color w:val="auto"/>
                <w:spacing w:val="-4"/>
                <w:sz w:val="24"/>
                <w:szCs w:val="24"/>
                <w:vertAlign w:val="superscript"/>
                <w:lang w:val="en-US" w:eastAsia="zh-CN"/>
              </w:rPr>
              <w:t>3</w:t>
            </w:r>
            <w:r>
              <w:rPr>
                <w:rFonts w:hint="default" w:ascii="Times New Roman" w:hAnsi="Times New Roman" w:eastAsia="宋体" w:cs="Times New Roman"/>
                <w:color w:val="auto"/>
                <w:spacing w:val="-4"/>
                <w:sz w:val="24"/>
                <w:szCs w:val="24"/>
                <w:lang w:val="en-US" w:eastAsia="zh-CN"/>
              </w:rPr>
              <w:t>均</w:t>
            </w:r>
            <w:r>
              <w:rPr>
                <w:rFonts w:hint="eastAsia" w:ascii="Times New Roman" w:hAnsi="Times New Roman" w:eastAsia="宋体" w:cs="Times New Roman"/>
                <w:color w:val="auto"/>
                <w:spacing w:val="-4"/>
                <w:sz w:val="24"/>
                <w:szCs w:val="24"/>
                <w:lang w:val="en-US" w:eastAsia="zh-CN"/>
              </w:rPr>
              <w:t>，满足《饮食业油烟排放标准（试行）》（GB18433-2001）排放限值标准，食堂油烟可达标排放。油烟净化设施检测报告见附件10</w:t>
            </w:r>
            <w:r>
              <w:rPr>
                <w:rFonts w:hint="default" w:ascii="Times New Roman" w:hAnsi="Times New Roman" w:eastAsia="宋体" w:cs="Times New Roman"/>
                <w:color w:val="auto"/>
                <w:sz w:val="24"/>
                <w:szCs w:val="24"/>
                <w:lang w:eastAsia="zh-CN"/>
              </w:rPr>
              <w:t>。</w:t>
            </w:r>
          </w:p>
          <w:p>
            <w:pPr>
              <w:spacing w:line="360" w:lineRule="auto"/>
              <w:ind w:firstLine="480" w:firstLineChars="200"/>
              <w:jc w:val="both"/>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工艺废气</w:t>
            </w:r>
          </w:p>
          <w:p>
            <w:pPr>
              <w:spacing w:line="360" w:lineRule="auto"/>
              <w:ind w:firstLine="464" w:firstLineChars="200"/>
              <w:jc w:val="both"/>
              <w:rPr>
                <w:rFonts w:hint="default" w:ascii="Times New Roman" w:hAnsi="Times New Roman" w:eastAsia="宋体" w:cs="Times New Roman"/>
                <w:color w:val="auto"/>
                <w:spacing w:val="-4"/>
                <w:sz w:val="24"/>
                <w:szCs w:val="24"/>
                <w:lang w:val="en-US" w:eastAsia="zh-CN"/>
              </w:rPr>
            </w:pPr>
            <w:r>
              <w:rPr>
                <w:rFonts w:hint="default" w:ascii="Times New Roman" w:hAnsi="Times New Roman" w:eastAsia="宋体" w:cs="Times New Roman"/>
                <w:color w:val="auto"/>
                <w:spacing w:val="-4"/>
                <w:sz w:val="24"/>
                <w:szCs w:val="24"/>
                <w:lang w:val="en-US" w:eastAsia="zh-CN"/>
              </w:rPr>
              <w:t>除设备自带除尘器以外，粉碎、过筛、混合工序的操作间均有单独室内除尘器（布袋），车间内空气通过空调机组循环利用，通风除尘后尾气通过20m高排气筒（车间废气排气筒）外排。</w:t>
            </w:r>
          </w:p>
          <w:p>
            <w:pPr>
              <w:spacing w:line="360" w:lineRule="auto"/>
              <w:ind w:firstLine="464" w:firstLineChars="200"/>
              <w:jc w:val="both"/>
              <w:rPr>
                <w:rFonts w:hint="default" w:ascii="Times New Roman" w:hAnsi="Times New Roman" w:eastAsia="宋体" w:cs="Times New Roman"/>
                <w:color w:val="auto"/>
                <w:spacing w:val="-4"/>
                <w:sz w:val="24"/>
                <w:szCs w:val="24"/>
                <w:lang w:val="en-US" w:eastAsia="zh-CN"/>
              </w:rPr>
            </w:pPr>
            <w:r>
              <w:rPr>
                <w:rFonts w:hint="default" w:ascii="Times New Roman" w:hAnsi="Times New Roman" w:eastAsia="宋体" w:cs="Times New Roman"/>
                <w:color w:val="auto"/>
                <w:spacing w:val="-4"/>
                <w:sz w:val="24"/>
                <w:szCs w:val="24"/>
                <w:lang w:val="en-US" w:eastAsia="zh-CN"/>
              </w:rPr>
              <w:t>锅炉废气</w:t>
            </w:r>
          </w:p>
          <w:p>
            <w:pPr>
              <w:spacing w:line="360" w:lineRule="auto"/>
              <w:ind w:firstLine="464" w:firstLineChars="200"/>
              <w:jc w:val="both"/>
              <w:rPr>
                <w:rFonts w:hint="default" w:ascii="Times New Roman" w:hAnsi="Times New Roman" w:eastAsia="宋体" w:cs="Times New Roman"/>
                <w:color w:val="auto"/>
                <w:spacing w:val="-4"/>
                <w:sz w:val="24"/>
                <w:szCs w:val="24"/>
                <w:lang w:val="en-US" w:eastAsia="zh-CN"/>
              </w:rPr>
            </w:pPr>
            <w:r>
              <w:rPr>
                <w:rFonts w:hint="default" w:ascii="Times New Roman" w:hAnsi="Times New Roman" w:eastAsia="宋体" w:cs="Times New Roman"/>
                <w:color w:val="auto"/>
                <w:spacing w:val="-4"/>
                <w:sz w:val="24"/>
                <w:szCs w:val="24"/>
                <w:lang w:val="en-US" w:eastAsia="zh-CN"/>
              </w:rPr>
              <w:t>本扩建工程完成后，全厂锅炉生物质耗量增加，主要是锅炉运行时间有所增加（从扩建前4250h/a增加到4475h/a）。锅炉废气经水多管旋风＋布袋除尘除尘处理后经45m排气筒外排。</w:t>
            </w:r>
          </w:p>
          <w:p>
            <w:pPr>
              <w:ind w:firstLine="480" w:firstLineChars="200"/>
              <w:jc w:val="both"/>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各排气筒实测监测数据如下：</w:t>
            </w:r>
          </w:p>
          <w:p>
            <w:pPr>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表17  有组织废气监测结果一览表 （单位：mg/m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lang w:val="en-US" w:eastAsia="zh-CN"/>
              </w:rPr>
              <w:t>）</w:t>
            </w:r>
          </w:p>
          <w:tbl>
            <w:tblPr>
              <w:tblStyle w:val="1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1"/>
              <w:gridCol w:w="1046"/>
              <w:gridCol w:w="797"/>
              <w:gridCol w:w="1152"/>
              <w:gridCol w:w="792"/>
              <w:gridCol w:w="760"/>
              <w:gridCol w:w="947"/>
              <w:gridCol w:w="1060"/>
              <w:gridCol w:w="11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37" w:type="pct"/>
                  <w:vMerge w:val="restar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监测点位</w:t>
                  </w:r>
                </w:p>
              </w:tc>
              <w:tc>
                <w:tcPr>
                  <w:tcW w:w="604" w:type="pct"/>
                  <w:vMerge w:val="restar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监测时间</w:t>
                  </w:r>
                </w:p>
              </w:tc>
              <w:tc>
                <w:tcPr>
                  <w:tcW w:w="1126" w:type="pct"/>
                  <w:gridSpan w:val="2"/>
                  <w:vMerge w:val="restar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监测项目</w:t>
                  </w:r>
                </w:p>
              </w:tc>
              <w:tc>
                <w:tcPr>
                  <w:tcW w:w="457" w:type="pct"/>
                  <w:vMerge w:val="restar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单位</w:t>
                  </w:r>
                </w:p>
              </w:tc>
              <w:tc>
                <w:tcPr>
                  <w:tcW w:w="439" w:type="pct"/>
                  <w:vMerge w:val="restar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参考限值</w:t>
                  </w:r>
                </w:p>
              </w:tc>
              <w:tc>
                <w:tcPr>
                  <w:tcW w:w="1834" w:type="pct"/>
                  <w:gridSpan w:val="3"/>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监测结果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37" w:type="pct"/>
                  <w:vMerge w:val="continue"/>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val="0"/>
                      <w:color w:val="auto"/>
                      <w:sz w:val="21"/>
                      <w:szCs w:val="21"/>
                    </w:rPr>
                  </w:pPr>
                </w:p>
              </w:tc>
              <w:tc>
                <w:tcPr>
                  <w:tcW w:w="604" w:type="pct"/>
                  <w:vMerge w:val="continue"/>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val="0"/>
                      <w:color w:val="auto"/>
                      <w:sz w:val="21"/>
                      <w:szCs w:val="21"/>
                    </w:rPr>
                  </w:pPr>
                </w:p>
              </w:tc>
              <w:tc>
                <w:tcPr>
                  <w:tcW w:w="1126" w:type="pct"/>
                  <w:gridSpan w:val="2"/>
                  <w:vMerge w:val="continue"/>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val="0"/>
                      <w:color w:val="auto"/>
                      <w:sz w:val="21"/>
                      <w:szCs w:val="21"/>
                    </w:rPr>
                  </w:pPr>
                </w:p>
              </w:tc>
              <w:tc>
                <w:tcPr>
                  <w:tcW w:w="457" w:type="pct"/>
                  <w:vMerge w:val="continue"/>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val="0"/>
                      <w:color w:val="auto"/>
                      <w:sz w:val="21"/>
                      <w:szCs w:val="21"/>
                    </w:rPr>
                  </w:pPr>
                </w:p>
              </w:tc>
              <w:tc>
                <w:tcPr>
                  <w:tcW w:w="439" w:type="pct"/>
                  <w:vMerge w:val="continue"/>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val="0"/>
                      <w:color w:val="auto"/>
                      <w:sz w:val="21"/>
                      <w:szCs w:val="21"/>
                    </w:rPr>
                  </w:pPr>
                </w:p>
              </w:tc>
              <w:tc>
                <w:tcPr>
                  <w:tcW w:w="547" w:type="pc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第1次</w:t>
                  </w:r>
                </w:p>
              </w:tc>
              <w:tc>
                <w:tcPr>
                  <w:tcW w:w="612" w:type="pc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第2次</w:t>
                  </w:r>
                </w:p>
              </w:tc>
              <w:tc>
                <w:tcPr>
                  <w:tcW w:w="674" w:type="pc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第3次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37"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2"/>
                      <w:sz w:val="21"/>
                      <w:szCs w:val="21"/>
                      <w:lang w:val="en-US" w:eastAsia="zh-CN"/>
                    </w:rPr>
                    <w:t>车间废气排气筒出口</w:t>
                  </w: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4"/>
                      <w:sz w:val="21"/>
                      <w:szCs w:val="21"/>
                      <w:vertAlign w:val="baseline"/>
                      <w:lang w:val="en-US" w:eastAsia="zh-CN"/>
                    </w:rPr>
                    <w:t>202</w:t>
                  </w:r>
                  <w:r>
                    <w:rPr>
                      <w:rFonts w:hint="eastAsia" w:ascii="Times New Roman" w:hAnsi="Times New Roman" w:eastAsia="宋体" w:cs="Times New Roman"/>
                      <w:color w:val="auto"/>
                      <w:spacing w:val="-4"/>
                      <w:sz w:val="21"/>
                      <w:szCs w:val="21"/>
                      <w:vertAlign w:val="baseline"/>
                      <w:lang w:val="en-US" w:eastAsia="zh-CN"/>
                    </w:rPr>
                    <w:t>1</w:t>
                  </w:r>
                  <w:r>
                    <w:rPr>
                      <w:rFonts w:hint="default" w:ascii="Times New Roman" w:hAnsi="Times New Roman" w:eastAsia="宋体" w:cs="Times New Roman"/>
                      <w:color w:val="auto"/>
                      <w:spacing w:val="-4"/>
                      <w:sz w:val="21"/>
                      <w:szCs w:val="21"/>
                      <w:vertAlign w:val="baseline"/>
                      <w:lang w:val="en-US" w:eastAsia="zh-CN"/>
                    </w:rPr>
                    <w:t>.</w:t>
                  </w:r>
                  <w:r>
                    <w:rPr>
                      <w:rFonts w:hint="eastAsia" w:ascii="Times New Roman" w:hAnsi="Times New Roman" w:eastAsia="宋体" w:cs="Times New Roman"/>
                      <w:color w:val="auto"/>
                      <w:spacing w:val="-4"/>
                      <w:sz w:val="21"/>
                      <w:szCs w:val="21"/>
                      <w:vertAlign w:val="baseline"/>
                      <w:lang w:val="en-US" w:eastAsia="zh-CN"/>
                    </w:rPr>
                    <w:t>5</w:t>
                  </w:r>
                  <w:r>
                    <w:rPr>
                      <w:rFonts w:hint="default" w:ascii="Times New Roman" w:hAnsi="Times New Roman" w:eastAsia="宋体" w:cs="Times New Roman"/>
                      <w:color w:val="auto"/>
                      <w:spacing w:val="-4"/>
                      <w:sz w:val="21"/>
                      <w:szCs w:val="21"/>
                      <w:vertAlign w:val="baseline"/>
                      <w:lang w:val="en-US" w:eastAsia="zh-CN"/>
                    </w:rPr>
                    <w:t>.</w:t>
                  </w:r>
                  <w:r>
                    <w:rPr>
                      <w:rFonts w:hint="eastAsia" w:ascii="Times New Roman" w:hAnsi="Times New Roman" w:eastAsia="宋体" w:cs="Times New Roman"/>
                      <w:color w:val="auto"/>
                      <w:spacing w:val="-4"/>
                      <w:sz w:val="21"/>
                      <w:szCs w:val="21"/>
                      <w:vertAlign w:val="baseline"/>
                      <w:lang w:val="en-US" w:eastAsia="zh-CN"/>
                    </w:rPr>
                    <w:t>05</w:t>
                  </w:r>
                </w:p>
              </w:tc>
              <w:tc>
                <w:tcPr>
                  <w:tcW w:w="1126"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rPr>
                    <w:t>颗粒物</w:t>
                  </w:r>
                </w:p>
              </w:tc>
              <w:tc>
                <w:tcPr>
                  <w:tcW w:w="45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mg/m</w:t>
                  </w:r>
                  <w:r>
                    <w:rPr>
                      <w:rFonts w:hint="default" w:ascii="Times New Roman" w:hAnsi="Times New Roman" w:eastAsia="宋体" w:cs="Times New Roman"/>
                      <w:color w:val="auto"/>
                      <w:kern w:val="0"/>
                      <w:sz w:val="21"/>
                      <w:szCs w:val="21"/>
                      <w:highlight w:val="none"/>
                      <w:vertAlign w:val="superscript"/>
                    </w:rPr>
                    <w:t>3</w:t>
                  </w: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150</w:t>
                  </w:r>
                </w:p>
              </w:tc>
              <w:tc>
                <w:tcPr>
                  <w:tcW w:w="547" w:type="pct"/>
                  <w:tcBorders>
                    <w:tl2br w:val="nil"/>
                    <w:tr2bl w:val="nil"/>
                  </w:tcBorders>
                  <w:noWrap w:val="0"/>
                  <w:vAlign w:val="center"/>
                </w:tcPr>
                <w:p>
                  <w:pPr>
                    <w:pStyle w:val="43"/>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lang w:val="en-US" w:eastAsia="zh-CN"/>
                    </w:rPr>
                    <w:t>21.3</w:t>
                  </w:r>
                </w:p>
              </w:tc>
              <w:tc>
                <w:tcPr>
                  <w:tcW w:w="612" w:type="pct"/>
                  <w:tcBorders>
                    <w:tl2br w:val="nil"/>
                    <w:tr2bl w:val="nil"/>
                  </w:tcBorders>
                  <w:noWrap w:val="0"/>
                  <w:vAlign w:val="center"/>
                </w:tcPr>
                <w:p>
                  <w:pPr>
                    <w:pStyle w:val="43"/>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22.6</w:t>
                  </w:r>
                </w:p>
              </w:tc>
              <w:tc>
                <w:tcPr>
                  <w:tcW w:w="674" w:type="pct"/>
                  <w:tcBorders>
                    <w:tl2br w:val="nil"/>
                    <w:tr2bl w:val="nil"/>
                  </w:tcBorders>
                  <w:noWrap w:val="0"/>
                  <w:vAlign w:val="center"/>
                </w:tcPr>
                <w:p>
                  <w:pPr>
                    <w:pStyle w:val="43"/>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24.4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3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4"/>
                      <w:sz w:val="21"/>
                      <w:szCs w:val="21"/>
                      <w:vertAlign w:val="baseline"/>
                      <w:lang w:val="en-US" w:eastAsia="zh-CN"/>
                    </w:rPr>
                    <w:t>202</w:t>
                  </w:r>
                  <w:r>
                    <w:rPr>
                      <w:rFonts w:hint="eastAsia" w:ascii="Times New Roman" w:hAnsi="Times New Roman" w:eastAsia="宋体" w:cs="Times New Roman"/>
                      <w:color w:val="auto"/>
                      <w:spacing w:val="-4"/>
                      <w:sz w:val="21"/>
                      <w:szCs w:val="21"/>
                      <w:vertAlign w:val="baseline"/>
                      <w:lang w:val="en-US" w:eastAsia="zh-CN"/>
                    </w:rPr>
                    <w:t>1</w:t>
                  </w:r>
                  <w:r>
                    <w:rPr>
                      <w:rFonts w:hint="default" w:ascii="Times New Roman" w:hAnsi="Times New Roman" w:eastAsia="宋体" w:cs="Times New Roman"/>
                      <w:color w:val="auto"/>
                      <w:spacing w:val="-4"/>
                      <w:sz w:val="21"/>
                      <w:szCs w:val="21"/>
                      <w:vertAlign w:val="baseline"/>
                      <w:lang w:val="en-US" w:eastAsia="zh-CN"/>
                    </w:rPr>
                    <w:t>.</w:t>
                  </w:r>
                  <w:r>
                    <w:rPr>
                      <w:rFonts w:hint="eastAsia" w:ascii="Times New Roman" w:hAnsi="Times New Roman" w:eastAsia="宋体" w:cs="Times New Roman"/>
                      <w:color w:val="auto"/>
                      <w:spacing w:val="-4"/>
                      <w:sz w:val="21"/>
                      <w:szCs w:val="21"/>
                      <w:vertAlign w:val="baseline"/>
                      <w:lang w:val="en-US" w:eastAsia="zh-CN"/>
                    </w:rPr>
                    <w:t>5</w:t>
                  </w:r>
                  <w:r>
                    <w:rPr>
                      <w:rFonts w:hint="default" w:ascii="Times New Roman" w:hAnsi="Times New Roman" w:eastAsia="宋体" w:cs="Times New Roman"/>
                      <w:color w:val="auto"/>
                      <w:spacing w:val="-4"/>
                      <w:sz w:val="21"/>
                      <w:szCs w:val="21"/>
                      <w:vertAlign w:val="baseline"/>
                      <w:lang w:val="en-US" w:eastAsia="zh-CN"/>
                    </w:rPr>
                    <w:t>.</w:t>
                  </w:r>
                  <w:r>
                    <w:rPr>
                      <w:rFonts w:hint="eastAsia" w:ascii="Times New Roman" w:hAnsi="Times New Roman" w:eastAsia="宋体" w:cs="Times New Roman"/>
                      <w:color w:val="auto"/>
                      <w:spacing w:val="-4"/>
                      <w:sz w:val="21"/>
                      <w:szCs w:val="21"/>
                      <w:vertAlign w:val="baseline"/>
                      <w:lang w:val="en-US" w:eastAsia="zh-CN"/>
                    </w:rPr>
                    <w:t>06</w:t>
                  </w:r>
                </w:p>
              </w:tc>
              <w:tc>
                <w:tcPr>
                  <w:tcW w:w="1126"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rPr>
                    <w:t>颗粒物</w:t>
                  </w:r>
                </w:p>
              </w:tc>
              <w:tc>
                <w:tcPr>
                  <w:tcW w:w="45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mg/m</w:t>
                  </w:r>
                  <w:r>
                    <w:rPr>
                      <w:rFonts w:hint="default" w:ascii="Times New Roman" w:hAnsi="Times New Roman" w:eastAsia="宋体" w:cs="Times New Roman"/>
                      <w:color w:val="auto"/>
                      <w:kern w:val="0"/>
                      <w:sz w:val="21"/>
                      <w:szCs w:val="21"/>
                      <w:highlight w:val="none"/>
                      <w:vertAlign w:val="superscript"/>
                    </w:rPr>
                    <w:t>3</w:t>
                  </w: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150</w:t>
                  </w:r>
                </w:p>
              </w:tc>
              <w:tc>
                <w:tcPr>
                  <w:tcW w:w="547" w:type="pct"/>
                  <w:tcBorders>
                    <w:tl2br w:val="nil"/>
                    <w:tr2bl w:val="nil"/>
                  </w:tcBorders>
                  <w:noWrap w:val="0"/>
                  <w:vAlign w:val="center"/>
                </w:tcPr>
                <w:p>
                  <w:pPr>
                    <w:pStyle w:val="43"/>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lang w:val="en-US" w:eastAsia="zh-CN"/>
                    </w:rPr>
                    <w:t>21.5</w:t>
                  </w:r>
                </w:p>
              </w:tc>
              <w:tc>
                <w:tcPr>
                  <w:tcW w:w="612" w:type="pct"/>
                  <w:tcBorders>
                    <w:tl2br w:val="nil"/>
                    <w:tr2bl w:val="nil"/>
                  </w:tcBorders>
                  <w:noWrap w:val="0"/>
                  <w:vAlign w:val="center"/>
                </w:tcPr>
                <w:p>
                  <w:pPr>
                    <w:pStyle w:val="43"/>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22.6</w:t>
                  </w:r>
                </w:p>
              </w:tc>
              <w:tc>
                <w:tcPr>
                  <w:tcW w:w="674" w:type="pct"/>
                  <w:tcBorders>
                    <w:tl2br w:val="nil"/>
                    <w:tr2bl w:val="nil"/>
                  </w:tcBorders>
                  <w:noWrap w:val="0"/>
                  <w:vAlign w:val="center"/>
                </w:tcPr>
                <w:p>
                  <w:pPr>
                    <w:pStyle w:val="43"/>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24.8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537"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2"/>
                      <w:sz w:val="21"/>
                      <w:szCs w:val="21"/>
                      <w:lang w:val="en-US" w:eastAsia="zh-CN"/>
                    </w:rPr>
                    <w:t>锅炉废气排放口出口</w:t>
                  </w:r>
                </w:p>
              </w:tc>
              <w:tc>
                <w:tcPr>
                  <w:tcW w:w="604"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4"/>
                      <w:sz w:val="21"/>
                      <w:szCs w:val="21"/>
                      <w:vertAlign w:val="baseline"/>
                      <w:lang w:val="en-US" w:eastAsia="zh-CN"/>
                    </w:rPr>
                    <w:t>202</w:t>
                  </w:r>
                  <w:r>
                    <w:rPr>
                      <w:rFonts w:hint="eastAsia" w:ascii="Times New Roman" w:hAnsi="Times New Roman" w:eastAsia="宋体" w:cs="Times New Roman"/>
                      <w:color w:val="auto"/>
                      <w:spacing w:val="-4"/>
                      <w:sz w:val="21"/>
                      <w:szCs w:val="21"/>
                      <w:vertAlign w:val="baseline"/>
                      <w:lang w:val="en-US" w:eastAsia="zh-CN"/>
                    </w:rPr>
                    <w:t>1</w:t>
                  </w:r>
                  <w:r>
                    <w:rPr>
                      <w:rFonts w:hint="default" w:ascii="Times New Roman" w:hAnsi="Times New Roman" w:eastAsia="宋体" w:cs="Times New Roman"/>
                      <w:color w:val="auto"/>
                      <w:spacing w:val="-4"/>
                      <w:sz w:val="21"/>
                      <w:szCs w:val="21"/>
                      <w:vertAlign w:val="baseline"/>
                      <w:lang w:val="en-US" w:eastAsia="zh-CN"/>
                    </w:rPr>
                    <w:t>.</w:t>
                  </w:r>
                  <w:r>
                    <w:rPr>
                      <w:rFonts w:hint="eastAsia" w:ascii="Times New Roman" w:hAnsi="Times New Roman" w:eastAsia="宋体" w:cs="Times New Roman"/>
                      <w:color w:val="auto"/>
                      <w:spacing w:val="-4"/>
                      <w:sz w:val="21"/>
                      <w:szCs w:val="21"/>
                      <w:vertAlign w:val="baseline"/>
                      <w:lang w:val="en-US" w:eastAsia="zh-CN"/>
                    </w:rPr>
                    <w:t>5</w:t>
                  </w:r>
                  <w:r>
                    <w:rPr>
                      <w:rFonts w:hint="default" w:ascii="Times New Roman" w:hAnsi="Times New Roman" w:eastAsia="宋体" w:cs="Times New Roman"/>
                      <w:color w:val="auto"/>
                      <w:spacing w:val="-4"/>
                      <w:sz w:val="21"/>
                      <w:szCs w:val="21"/>
                      <w:vertAlign w:val="baseline"/>
                      <w:lang w:val="en-US" w:eastAsia="zh-CN"/>
                    </w:rPr>
                    <w:t>.</w:t>
                  </w:r>
                  <w:r>
                    <w:rPr>
                      <w:rFonts w:hint="eastAsia" w:ascii="Times New Roman" w:hAnsi="Times New Roman" w:eastAsia="宋体" w:cs="Times New Roman"/>
                      <w:color w:val="auto"/>
                      <w:spacing w:val="-4"/>
                      <w:sz w:val="21"/>
                      <w:szCs w:val="21"/>
                      <w:vertAlign w:val="baseline"/>
                      <w:lang w:val="en-US" w:eastAsia="zh-CN"/>
                    </w:rPr>
                    <w:t>05</w:t>
                  </w:r>
                </w:p>
              </w:tc>
              <w:tc>
                <w:tcPr>
                  <w:tcW w:w="460"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rPr>
                    <w:t>颗粒物</w:t>
                  </w: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实测浓度</w:t>
                  </w:r>
                </w:p>
              </w:tc>
              <w:tc>
                <w:tcPr>
                  <w:tcW w:w="457"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rPr>
                  </w:pPr>
                </w:p>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en-US" w:bidi="ar-SA"/>
                    </w:rPr>
                  </w:pPr>
                  <w:r>
                    <w:rPr>
                      <w:rFonts w:hint="default" w:ascii="Times New Roman" w:hAnsi="Times New Roman" w:eastAsia="宋体" w:cs="Times New Roman"/>
                      <w:color w:val="auto"/>
                      <w:kern w:val="0"/>
                      <w:sz w:val="21"/>
                      <w:szCs w:val="21"/>
                      <w:highlight w:val="none"/>
                    </w:rPr>
                    <w:t>mg/m</w:t>
                  </w:r>
                  <w:r>
                    <w:rPr>
                      <w:rFonts w:hint="default" w:ascii="Times New Roman" w:hAnsi="Times New Roman" w:eastAsia="宋体" w:cs="Times New Roman"/>
                      <w:color w:val="auto"/>
                      <w:kern w:val="0"/>
                      <w:sz w:val="21"/>
                      <w:szCs w:val="21"/>
                      <w:highlight w:val="none"/>
                      <w:vertAlign w:val="superscript"/>
                    </w:rPr>
                    <w:t>3</w:t>
                  </w:r>
                </w:p>
                <w:p>
                  <w:pPr>
                    <w:keepNext w:val="0"/>
                    <w:keepLines w:val="0"/>
                    <w:pageBreakBefore w:val="0"/>
                    <w:widowControl w:val="0"/>
                    <w:kinsoku/>
                    <w:wordWrap/>
                    <w:overflowPunct/>
                    <w:topLinePunct w:val="0"/>
                    <w:autoSpaceDE w:val="0"/>
                    <w:autoSpaceDN w:val="0"/>
                    <w:bidi w:val="0"/>
                    <w:adjustRightInd/>
                    <w:snapToGrid/>
                    <w:jc w:val="both"/>
                    <w:textAlignment w:val="auto"/>
                    <w:rPr>
                      <w:rFonts w:hint="eastAsia" w:ascii="Times New Roman" w:hAnsi="Times New Roman" w:eastAsia="宋体" w:cs="Times New Roman"/>
                      <w:color w:val="auto"/>
                      <w:kern w:val="0"/>
                      <w:sz w:val="21"/>
                      <w:szCs w:val="21"/>
                      <w:highlight w:val="none"/>
                      <w:lang w:eastAsia="zh-CN"/>
                    </w:rPr>
                  </w:pPr>
                </w:p>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947" w:type="dxa"/>
                  <w:tcBorders>
                    <w:tl2br w:val="nil"/>
                    <w:tr2bl w:val="nil"/>
                  </w:tcBorders>
                  <w:noWrap w:val="0"/>
                  <w:vAlign w:val="center"/>
                </w:tcPr>
                <w:p>
                  <w:pPr>
                    <w:pStyle w:val="43"/>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13.0 </w:t>
                  </w:r>
                </w:p>
              </w:tc>
              <w:tc>
                <w:tcPr>
                  <w:tcW w:w="1060" w:type="dxa"/>
                  <w:tcBorders>
                    <w:tl2br w:val="nil"/>
                    <w:tr2bl w:val="nil"/>
                  </w:tcBorders>
                  <w:noWrap w:val="0"/>
                  <w:vAlign w:val="center"/>
                </w:tcPr>
                <w:p>
                  <w:pPr>
                    <w:pStyle w:val="43"/>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11.0 </w:t>
                  </w:r>
                </w:p>
              </w:tc>
              <w:tc>
                <w:tcPr>
                  <w:tcW w:w="1168" w:type="dxa"/>
                  <w:tcBorders>
                    <w:tl2br w:val="nil"/>
                    <w:tr2bl w:val="nil"/>
                  </w:tcBorders>
                  <w:noWrap w:val="0"/>
                  <w:vAlign w:val="center"/>
                </w:tcPr>
                <w:p>
                  <w:pPr>
                    <w:pStyle w:val="43"/>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11.6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53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lang w:val="en-US" w:eastAsia="zh-CN"/>
                    </w:rPr>
                  </w:pPr>
                </w:p>
              </w:tc>
              <w:tc>
                <w:tcPr>
                  <w:tcW w:w="60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ind w:firstLine="202" w:firstLineChars="100"/>
                    <w:jc w:val="both"/>
                    <w:textAlignment w:val="auto"/>
                    <w:rPr>
                      <w:rFonts w:hint="default" w:ascii="Times New Roman" w:hAnsi="Times New Roman" w:eastAsia="宋体" w:cs="Times New Roman"/>
                      <w:color w:val="auto"/>
                      <w:spacing w:val="-4"/>
                      <w:sz w:val="21"/>
                      <w:szCs w:val="21"/>
                      <w:vertAlign w:val="baseline"/>
                      <w:lang w:val="en-US" w:eastAsia="zh-CN"/>
                    </w:rPr>
                  </w:pPr>
                </w:p>
              </w:tc>
              <w:tc>
                <w:tcPr>
                  <w:tcW w:w="46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宋体" w:cs="Times New Roman"/>
                      <w:color w:val="auto"/>
                      <w:kern w:val="0"/>
                      <w:sz w:val="21"/>
                      <w:szCs w:val="21"/>
                      <w:highlight w:val="none"/>
                      <w:lang w:val="en-US" w:eastAsia="zh-CN"/>
                    </w:rPr>
                  </w:pP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折算浓度</w:t>
                  </w:r>
                </w:p>
              </w:tc>
              <w:tc>
                <w:tcPr>
                  <w:tcW w:w="45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rPr>
                  </w:pP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30</w:t>
                  </w:r>
                </w:p>
              </w:tc>
              <w:tc>
                <w:tcPr>
                  <w:tcW w:w="947" w:type="dxa"/>
                  <w:tcBorders>
                    <w:tl2br w:val="nil"/>
                    <w:tr2bl w:val="nil"/>
                  </w:tcBorders>
                  <w:noWrap w:val="0"/>
                  <w:vAlign w:val="center"/>
                </w:tcPr>
                <w:p>
                  <w:pPr>
                    <w:pStyle w:val="43"/>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24.9 </w:t>
                  </w:r>
                </w:p>
              </w:tc>
              <w:tc>
                <w:tcPr>
                  <w:tcW w:w="1060" w:type="dxa"/>
                  <w:tcBorders>
                    <w:tl2br w:val="nil"/>
                    <w:tr2bl w:val="nil"/>
                  </w:tcBorders>
                  <w:noWrap w:val="0"/>
                  <w:vAlign w:val="center"/>
                </w:tcPr>
                <w:p>
                  <w:pPr>
                    <w:pStyle w:val="43"/>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21.1 </w:t>
                  </w:r>
                </w:p>
              </w:tc>
              <w:tc>
                <w:tcPr>
                  <w:tcW w:w="1168" w:type="dxa"/>
                  <w:tcBorders>
                    <w:tl2br w:val="nil"/>
                    <w:tr2bl w:val="nil"/>
                  </w:tcBorders>
                  <w:noWrap w:val="0"/>
                  <w:vAlign w:val="center"/>
                </w:tcPr>
                <w:p>
                  <w:pPr>
                    <w:pStyle w:val="43"/>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21.8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53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60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60"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rPr>
                    <w:t>SO</w:t>
                  </w:r>
                  <w:r>
                    <w:rPr>
                      <w:rFonts w:hint="default" w:ascii="Times New Roman" w:hAnsi="Times New Roman" w:eastAsia="宋体" w:cs="Times New Roman"/>
                      <w:color w:val="auto"/>
                      <w:kern w:val="0"/>
                      <w:sz w:val="21"/>
                      <w:szCs w:val="21"/>
                      <w:highlight w:val="none"/>
                      <w:vertAlign w:val="subscript"/>
                      <w:lang w:val="en-US" w:eastAsia="zh-CN"/>
                    </w:rPr>
                    <w:t>2</w:t>
                  </w: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实测浓度</w:t>
                  </w:r>
                </w:p>
              </w:tc>
              <w:tc>
                <w:tcPr>
                  <w:tcW w:w="45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c>
                <w:tcPr>
                  <w:tcW w:w="547" w:type="pct"/>
                  <w:tcBorders>
                    <w:tl2br w:val="nil"/>
                    <w:tr2bl w:val="nil"/>
                  </w:tcBorders>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2"/>
                      <w:sz w:val="21"/>
                      <w:szCs w:val="21"/>
                      <w:lang w:val="en-US" w:eastAsia="zh-CN" w:bidi="ar-SA"/>
                    </w:rPr>
                    <w:t>＜3</w:t>
                  </w:r>
                </w:p>
              </w:tc>
              <w:tc>
                <w:tcPr>
                  <w:tcW w:w="612" w:type="pct"/>
                  <w:tcBorders>
                    <w:tl2br w:val="nil"/>
                    <w:tr2bl w:val="nil"/>
                  </w:tcBorders>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2"/>
                      <w:sz w:val="21"/>
                      <w:szCs w:val="21"/>
                      <w:lang w:val="en-US" w:eastAsia="zh-CN" w:bidi="ar-SA"/>
                    </w:rPr>
                    <w:t>＜3</w:t>
                  </w:r>
                </w:p>
              </w:tc>
              <w:tc>
                <w:tcPr>
                  <w:tcW w:w="674" w:type="pct"/>
                  <w:tcBorders>
                    <w:tl2br w:val="nil"/>
                    <w:tr2bl w:val="nil"/>
                  </w:tcBorders>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2"/>
                      <w:sz w:val="21"/>
                      <w:szCs w:val="21"/>
                      <w:lang w:val="en-US" w:eastAsia="zh-CN" w:bidi="ar-SA"/>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53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60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6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折算浓度</w:t>
                  </w:r>
                </w:p>
              </w:tc>
              <w:tc>
                <w:tcPr>
                  <w:tcW w:w="45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200</w:t>
                  </w:r>
                </w:p>
              </w:tc>
              <w:tc>
                <w:tcPr>
                  <w:tcW w:w="547" w:type="pct"/>
                  <w:tcBorders>
                    <w:tl2br w:val="nil"/>
                    <w:tr2bl w:val="nil"/>
                  </w:tcBorders>
                  <w:noWrap w:val="0"/>
                  <w:vAlign w:val="center"/>
                </w:tcPr>
                <w:p>
                  <w:pPr>
                    <w:numPr>
                      <w:ilvl w:val="0"/>
                      <w:numId w:val="0"/>
                    </w:numPr>
                    <w:spacing w:line="240" w:lineRule="auto"/>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2"/>
                      <w:sz w:val="21"/>
                      <w:szCs w:val="21"/>
                      <w:lang w:val="en-US" w:eastAsia="zh-CN" w:bidi="ar-SA"/>
                    </w:rPr>
                    <w:t>＜3</w:t>
                  </w:r>
                </w:p>
              </w:tc>
              <w:tc>
                <w:tcPr>
                  <w:tcW w:w="612" w:type="pct"/>
                  <w:tcBorders>
                    <w:tl2br w:val="nil"/>
                    <w:tr2bl w:val="nil"/>
                  </w:tcBorders>
                  <w:noWrap w:val="0"/>
                  <w:vAlign w:val="center"/>
                </w:tcPr>
                <w:p>
                  <w:pPr>
                    <w:numPr>
                      <w:ilvl w:val="0"/>
                      <w:numId w:val="0"/>
                    </w:numPr>
                    <w:spacing w:line="240" w:lineRule="auto"/>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2"/>
                      <w:sz w:val="21"/>
                      <w:szCs w:val="21"/>
                      <w:lang w:val="en-US" w:eastAsia="zh-CN" w:bidi="ar-SA"/>
                    </w:rPr>
                    <w:t>＜3</w:t>
                  </w:r>
                </w:p>
              </w:tc>
              <w:tc>
                <w:tcPr>
                  <w:tcW w:w="674" w:type="pct"/>
                  <w:tcBorders>
                    <w:tl2br w:val="nil"/>
                    <w:tr2bl w:val="nil"/>
                  </w:tcBorders>
                  <w:noWrap w:val="0"/>
                  <w:vAlign w:val="center"/>
                </w:tcPr>
                <w:p>
                  <w:pPr>
                    <w:numPr>
                      <w:ilvl w:val="0"/>
                      <w:numId w:val="0"/>
                    </w:numPr>
                    <w:spacing w:line="240" w:lineRule="auto"/>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2"/>
                      <w:sz w:val="21"/>
                      <w:szCs w:val="21"/>
                      <w:lang w:val="en-US" w:eastAsia="zh-CN" w:bidi="ar-SA"/>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53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60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60"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rPr>
                    <w:t>NOx</w:t>
                  </w: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实测浓度</w:t>
                  </w:r>
                </w:p>
              </w:tc>
              <w:tc>
                <w:tcPr>
                  <w:tcW w:w="45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c>
                <w:tcPr>
                  <w:tcW w:w="947" w:type="dxa"/>
                  <w:tcBorders>
                    <w:tl2br w:val="nil"/>
                    <w:tr2bl w:val="nil"/>
                  </w:tcBorders>
                  <w:noWrap w:val="0"/>
                  <w:vAlign w:val="center"/>
                </w:tcPr>
                <w:p>
                  <w:pPr>
                    <w:pStyle w:val="43"/>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21.3 </w:t>
                  </w:r>
                </w:p>
              </w:tc>
              <w:tc>
                <w:tcPr>
                  <w:tcW w:w="1060" w:type="dxa"/>
                  <w:tcBorders>
                    <w:tl2br w:val="nil"/>
                    <w:tr2bl w:val="nil"/>
                  </w:tcBorders>
                  <w:noWrap w:val="0"/>
                  <w:vAlign w:val="center"/>
                </w:tcPr>
                <w:p>
                  <w:pPr>
                    <w:pStyle w:val="43"/>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22.0 </w:t>
                  </w:r>
                </w:p>
              </w:tc>
              <w:tc>
                <w:tcPr>
                  <w:tcW w:w="1168" w:type="dxa"/>
                  <w:tcBorders>
                    <w:tl2br w:val="nil"/>
                    <w:tr2bl w:val="nil"/>
                  </w:tcBorders>
                  <w:noWrap w:val="0"/>
                  <w:vAlign w:val="center"/>
                </w:tcPr>
                <w:p>
                  <w:pPr>
                    <w:pStyle w:val="43"/>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19.0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53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60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6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折算浓度</w:t>
                  </w:r>
                </w:p>
              </w:tc>
              <w:tc>
                <w:tcPr>
                  <w:tcW w:w="45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200</w:t>
                  </w:r>
                </w:p>
              </w:tc>
              <w:tc>
                <w:tcPr>
                  <w:tcW w:w="947" w:type="dxa"/>
                  <w:tcBorders>
                    <w:tl2br w:val="nil"/>
                    <w:tr2bl w:val="nil"/>
                  </w:tcBorders>
                  <w:noWrap w:val="0"/>
                  <w:vAlign w:val="center"/>
                </w:tcPr>
                <w:p>
                  <w:pPr>
                    <w:pStyle w:val="43"/>
                    <w:spacing w:line="240" w:lineRule="auto"/>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41.3 </w:t>
                  </w:r>
                </w:p>
              </w:tc>
              <w:tc>
                <w:tcPr>
                  <w:tcW w:w="1060" w:type="dxa"/>
                  <w:tcBorders>
                    <w:tl2br w:val="nil"/>
                    <w:tr2bl w:val="nil"/>
                  </w:tcBorders>
                  <w:noWrap w:val="0"/>
                  <w:vAlign w:val="center"/>
                </w:tcPr>
                <w:p>
                  <w:pPr>
                    <w:pStyle w:val="43"/>
                    <w:spacing w:line="240" w:lineRule="auto"/>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42.0 </w:t>
                  </w:r>
                </w:p>
              </w:tc>
              <w:tc>
                <w:tcPr>
                  <w:tcW w:w="1168" w:type="dxa"/>
                  <w:tcBorders>
                    <w:tl2br w:val="nil"/>
                    <w:tr2bl w:val="nil"/>
                  </w:tcBorders>
                  <w:noWrap w:val="0"/>
                  <w:vAlign w:val="center"/>
                </w:tcPr>
                <w:p>
                  <w:pPr>
                    <w:pStyle w:val="43"/>
                    <w:spacing w:line="240" w:lineRule="auto"/>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37.0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53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604"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pacing w:val="-4"/>
                      <w:sz w:val="21"/>
                      <w:szCs w:val="21"/>
                      <w:vertAlign w:val="baseline"/>
                      <w:lang w:val="en-US" w:eastAsia="zh-CN"/>
                    </w:rPr>
                    <w:t>202</w:t>
                  </w:r>
                  <w:r>
                    <w:rPr>
                      <w:rFonts w:hint="eastAsia" w:ascii="Times New Roman" w:hAnsi="Times New Roman" w:eastAsia="宋体" w:cs="Times New Roman"/>
                      <w:color w:val="auto"/>
                      <w:spacing w:val="-4"/>
                      <w:sz w:val="21"/>
                      <w:szCs w:val="21"/>
                      <w:vertAlign w:val="baseline"/>
                      <w:lang w:val="en-US" w:eastAsia="zh-CN"/>
                    </w:rPr>
                    <w:t>1</w:t>
                  </w:r>
                  <w:r>
                    <w:rPr>
                      <w:rFonts w:hint="default" w:ascii="Times New Roman" w:hAnsi="Times New Roman" w:eastAsia="宋体" w:cs="Times New Roman"/>
                      <w:color w:val="auto"/>
                      <w:spacing w:val="-4"/>
                      <w:sz w:val="21"/>
                      <w:szCs w:val="21"/>
                      <w:vertAlign w:val="baseline"/>
                      <w:lang w:val="en-US" w:eastAsia="zh-CN"/>
                    </w:rPr>
                    <w:t>.</w:t>
                  </w:r>
                  <w:r>
                    <w:rPr>
                      <w:rFonts w:hint="eastAsia" w:ascii="Times New Roman" w:hAnsi="Times New Roman" w:eastAsia="宋体" w:cs="Times New Roman"/>
                      <w:color w:val="auto"/>
                      <w:spacing w:val="-4"/>
                      <w:sz w:val="21"/>
                      <w:szCs w:val="21"/>
                      <w:vertAlign w:val="baseline"/>
                      <w:lang w:val="en-US" w:eastAsia="zh-CN"/>
                    </w:rPr>
                    <w:t>5</w:t>
                  </w:r>
                  <w:r>
                    <w:rPr>
                      <w:rFonts w:hint="default" w:ascii="Times New Roman" w:hAnsi="Times New Roman" w:eastAsia="宋体" w:cs="Times New Roman"/>
                      <w:color w:val="auto"/>
                      <w:spacing w:val="-4"/>
                      <w:sz w:val="21"/>
                      <w:szCs w:val="21"/>
                      <w:vertAlign w:val="baseline"/>
                      <w:lang w:val="en-US" w:eastAsia="zh-CN"/>
                    </w:rPr>
                    <w:t>.</w:t>
                  </w:r>
                  <w:r>
                    <w:rPr>
                      <w:rFonts w:hint="eastAsia" w:ascii="Times New Roman" w:hAnsi="Times New Roman" w:eastAsia="宋体" w:cs="Times New Roman"/>
                      <w:color w:val="auto"/>
                      <w:spacing w:val="-4"/>
                      <w:sz w:val="21"/>
                      <w:szCs w:val="21"/>
                      <w:vertAlign w:val="baseline"/>
                      <w:lang w:val="en-US" w:eastAsia="zh-CN"/>
                    </w:rPr>
                    <w:t>06</w:t>
                  </w:r>
                </w:p>
              </w:tc>
              <w:tc>
                <w:tcPr>
                  <w:tcW w:w="460"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rPr>
                    <w:t>颗粒物</w:t>
                  </w: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实测浓度</w:t>
                  </w:r>
                </w:p>
              </w:tc>
              <w:tc>
                <w:tcPr>
                  <w:tcW w:w="457"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mg/m</w:t>
                  </w:r>
                  <w:r>
                    <w:rPr>
                      <w:rFonts w:hint="default" w:ascii="Times New Roman" w:hAnsi="Times New Roman" w:eastAsia="宋体" w:cs="Times New Roman"/>
                      <w:color w:val="auto"/>
                      <w:kern w:val="0"/>
                      <w:sz w:val="21"/>
                      <w:szCs w:val="21"/>
                      <w:highlight w:val="none"/>
                      <w:vertAlign w:val="superscript"/>
                    </w:rPr>
                    <w:t>3</w:t>
                  </w:r>
                </w:p>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947" w:type="dxa"/>
                  <w:tcBorders>
                    <w:tl2br w:val="nil"/>
                    <w:tr2bl w:val="nil"/>
                  </w:tcBorders>
                  <w:noWrap w:val="0"/>
                  <w:vAlign w:val="center"/>
                </w:tcPr>
                <w:p>
                  <w:pPr>
                    <w:pStyle w:val="43"/>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sz w:val="21"/>
                      <w:szCs w:val="21"/>
                      <w:lang w:val="en-US" w:eastAsia="zh-CN"/>
                    </w:rPr>
                    <w:t xml:space="preserve">11.9 </w:t>
                  </w:r>
                </w:p>
              </w:tc>
              <w:tc>
                <w:tcPr>
                  <w:tcW w:w="1060" w:type="dxa"/>
                  <w:tcBorders>
                    <w:tl2br w:val="nil"/>
                    <w:tr2bl w:val="nil"/>
                  </w:tcBorders>
                  <w:noWrap w:val="0"/>
                  <w:vAlign w:val="center"/>
                </w:tcPr>
                <w:p>
                  <w:pPr>
                    <w:pStyle w:val="43"/>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sz w:val="21"/>
                      <w:szCs w:val="21"/>
                      <w:lang w:val="en-US" w:eastAsia="zh-CN"/>
                    </w:rPr>
                    <w:t xml:space="preserve">12.0 </w:t>
                  </w:r>
                </w:p>
              </w:tc>
              <w:tc>
                <w:tcPr>
                  <w:tcW w:w="1168" w:type="dxa"/>
                  <w:tcBorders>
                    <w:tl2br w:val="nil"/>
                    <w:tr2bl w:val="nil"/>
                  </w:tcBorders>
                  <w:noWrap w:val="0"/>
                  <w:vAlign w:val="center"/>
                </w:tcPr>
                <w:p>
                  <w:pPr>
                    <w:pStyle w:val="43"/>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sz w:val="21"/>
                      <w:szCs w:val="21"/>
                      <w:lang w:val="en-US" w:eastAsia="zh-CN"/>
                    </w:rPr>
                    <w:t xml:space="preserve">12.1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53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60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pacing w:val="-4"/>
                      <w:sz w:val="21"/>
                      <w:szCs w:val="21"/>
                      <w:vertAlign w:val="baseline"/>
                      <w:lang w:val="en-US" w:eastAsia="zh-CN"/>
                    </w:rPr>
                  </w:pPr>
                </w:p>
              </w:tc>
              <w:tc>
                <w:tcPr>
                  <w:tcW w:w="46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折算浓度</w:t>
                  </w:r>
                </w:p>
              </w:tc>
              <w:tc>
                <w:tcPr>
                  <w:tcW w:w="45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rPr>
                  </w:pP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30</w:t>
                  </w:r>
                </w:p>
              </w:tc>
              <w:tc>
                <w:tcPr>
                  <w:tcW w:w="947" w:type="dxa"/>
                  <w:tcBorders>
                    <w:tl2br w:val="nil"/>
                    <w:tr2bl w:val="nil"/>
                  </w:tcBorders>
                  <w:noWrap w:val="0"/>
                  <w:vAlign w:val="center"/>
                </w:tcPr>
                <w:p>
                  <w:pPr>
                    <w:pStyle w:val="43"/>
                    <w:spacing w:line="240" w:lineRule="auto"/>
                    <w:ind w:left="0" w:lef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 xml:space="preserve">23.3 </w:t>
                  </w:r>
                </w:p>
              </w:tc>
              <w:tc>
                <w:tcPr>
                  <w:tcW w:w="1060" w:type="dxa"/>
                  <w:tcBorders>
                    <w:tl2br w:val="nil"/>
                    <w:tr2bl w:val="nil"/>
                  </w:tcBorders>
                  <w:noWrap w:val="0"/>
                  <w:vAlign w:val="center"/>
                </w:tcPr>
                <w:p>
                  <w:pPr>
                    <w:pStyle w:val="43"/>
                    <w:spacing w:line="240" w:lineRule="auto"/>
                    <w:ind w:left="0" w:lef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 xml:space="preserve">22.9 </w:t>
                  </w:r>
                </w:p>
              </w:tc>
              <w:tc>
                <w:tcPr>
                  <w:tcW w:w="1168" w:type="dxa"/>
                  <w:tcBorders>
                    <w:tl2br w:val="nil"/>
                    <w:tr2bl w:val="nil"/>
                  </w:tcBorders>
                  <w:noWrap w:val="0"/>
                  <w:vAlign w:val="center"/>
                </w:tcPr>
                <w:p>
                  <w:pPr>
                    <w:pStyle w:val="43"/>
                    <w:spacing w:line="240" w:lineRule="auto"/>
                    <w:ind w:left="0" w:lef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 xml:space="preserve">23.4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53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60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60"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rPr>
                    <w:t>SO</w:t>
                  </w:r>
                  <w:r>
                    <w:rPr>
                      <w:rFonts w:hint="default" w:ascii="Times New Roman" w:hAnsi="Times New Roman" w:eastAsia="宋体" w:cs="Times New Roman"/>
                      <w:color w:val="auto"/>
                      <w:kern w:val="0"/>
                      <w:sz w:val="21"/>
                      <w:szCs w:val="21"/>
                      <w:highlight w:val="none"/>
                      <w:vertAlign w:val="subscript"/>
                      <w:lang w:val="en-US" w:eastAsia="zh-CN"/>
                    </w:rPr>
                    <w:t>2</w:t>
                  </w: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实测浓度</w:t>
                  </w:r>
                </w:p>
              </w:tc>
              <w:tc>
                <w:tcPr>
                  <w:tcW w:w="45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c>
                <w:tcPr>
                  <w:tcW w:w="547" w:type="pct"/>
                  <w:tcBorders>
                    <w:tl2br w:val="nil"/>
                    <w:tr2bl w:val="nil"/>
                  </w:tcBorders>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2"/>
                      <w:sz w:val="21"/>
                      <w:szCs w:val="21"/>
                      <w:lang w:val="en-US" w:eastAsia="zh-CN" w:bidi="ar-SA"/>
                    </w:rPr>
                    <w:t>＜3</w:t>
                  </w:r>
                </w:p>
              </w:tc>
              <w:tc>
                <w:tcPr>
                  <w:tcW w:w="612" w:type="pct"/>
                  <w:tcBorders>
                    <w:tl2br w:val="nil"/>
                    <w:tr2bl w:val="nil"/>
                  </w:tcBorders>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2"/>
                      <w:sz w:val="21"/>
                      <w:szCs w:val="21"/>
                      <w:lang w:val="en-US" w:eastAsia="zh-CN" w:bidi="ar-SA"/>
                    </w:rPr>
                    <w:t>＜3</w:t>
                  </w:r>
                </w:p>
              </w:tc>
              <w:tc>
                <w:tcPr>
                  <w:tcW w:w="674" w:type="pct"/>
                  <w:tcBorders>
                    <w:tl2br w:val="nil"/>
                    <w:tr2bl w:val="nil"/>
                  </w:tcBorders>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2"/>
                      <w:sz w:val="21"/>
                      <w:szCs w:val="21"/>
                      <w:lang w:val="en-US" w:eastAsia="zh-CN" w:bidi="ar-SA"/>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53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60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6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折算浓度</w:t>
                  </w:r>
                </w:p>
              </w:tc>
              <w:tc>
                <w:tcPr>
                  <w:tcW w:w="45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200</w:t>
                  </w:r>
                </w:p>
              </w:tc>
              <w:tc>
                <w:tcPr>
                  <w:tcW w:w="547" w:type="pct"/>
                  <w:tcBorders>
                    <w:tl2br w:val="nil"/>
                    <w:tr2bl w:val="nil"/>
                  </w:tcBorders>
                  <w:noWrap w:val="0"/>
                  <w:vAlign w:val="center"/>
                </w:tcPr>
                <w:p>
                  <w:pPr>
                    <w:numPr>
                      <w:ilvl w:val="0"/>
                      <w:numId w:val="0"/>
                    </w:numPr>
                    <w:spacing w:line="240" w:lineRule="auto"/>
                    <w:ind w:left="0" w:lef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w:t>
                  </w:r>
                </w:p>
              </w:tc>
              <w:tc>
                <w:tcPr>
                  <w:tcW w:w="612" w:type="pct"/>
                  <w:tcBorders>
                    <w:tl2br w:val="nil"/>
                    <w:tr2bl w:val="nil"/>
                  </w:tcBorders>
                  <w:noWrap w:val="0"/>
                  <w:vAlign w:val="center"/>
                </w:tcPr>
                <w:p>
                  <w:pPr>
                    <w:numPr>
                      <w:ilvl w:val="0"/>
                      <w:numId w:val="0"/>
                    </w:numPr>
                    <w:spacing w:line="240" w:lineRule="auto"/>
                    <w:ind w:left="0" w:lef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w:t>
                  </w:r>
                </w:p>
              </w:tc>
              <w:tc>
                <w:tcPr>
                  <w:tcW w:w="674" w:type="pct"/>
                  <w:tcBorders>
                    <w:tl2br w:val="nil"/>
                    <w:tr2bl w:val="nil"/>
                  </w:tcBorders>
                  <w:noWrap w:val="0"/>
                  <w:vAlign w:val="center"/>
                </w:tcPr>
                <w:p>
                  <w:pPr>
                    <w:numPr>
                      <w:ilvl w:val="0"/>
                      <w:numId w:val="0"/>
                    </w:numPr>
                    <w:spacing w:line="240" w:lineRule="auto"/>
                    <w:ind w:left="0" w:lef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53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60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60"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rPr>
                    <w:t>NOx</w:t>
                  </w: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实测浓度</w:t>
                  </w:r>
                </w:p>
              </w:tc>
              <w:tc>
                <w:tcPr>
                  <w:tcW w:w="45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c>
                <w:tcPr>
                  <w:tcW w:w="947" w:type="dxa"/>
                  <w:tcBorders>
                    <w:tl2br w:val="nil"/>
                    <w:tr2bl w:val="nil"/>
                  </w:tcBorders>
                  <w:noWrap w:val="0"/>
                  <w:vAlign w:val="center"/>
                </w:tcPr>
                <w:p>
                  <w:pPr>
                    <w:pStyle w:val="43"/>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16.0 </w:t>
                  </w:r>
                </w:p>
              </w:tc>
              <w:tc>
                <w:tcPr>
                  <w:tcW w:w="1060" w:type="dxa"/>
                  <w:tcBorders>
                    <w:tl2br w:val="nil"/>
                    <w:tr2bl w:val="nil"/>
                  </w:tcBorders>
                  <w:noWrap w:val="0"/>
                  <w:vAlign w:val="center"/>
                </w:tcPr>
                <w:p>
                  <w:pPr>
                    <w:pStyle w:val="43"/>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20.3 </w:t>
                  </w:r>
                </w:p>
              </w:tc>
              <w:tc>
                <w:tcPr>
                  <w:tcW w:w="1168" w:type="dxa"/>
                  <w:tcBorders>
                    <w:tl2br w:val="nil"/>
                    <w:tr2bl w:val="nil"/>
                  </w:tcBorders>
                  <w:noWrap w:val="0"/>
                  <w:vAlign w:val="center"/>
                </w:tcPr>
                <w:p>
                  <w:pPr>
                    <w:pStyle w:val="43"/>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22.3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53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60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6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66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折算浓度</w:t>
                  </w:r>
                </w:p>
              </w:tc>
              <w:tc>
                <w:tcPr>
                  <w:tcW w:w="45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200</w:t>
                  </w:r>
                </w:p>
              </w:tc>
              <w:tc>
                <w:tcPr>
                  <w:tcW w:w="947" w:type="dxa"/>
                  <w:tcBorders>
                    <w:tl2br w:val="nil"/>
                    <w:tr2bl w:val="nil"/>
                  </w:tcBorders>
                  <w:noWrap w:val="0"/>
                  <w:vAlign w:val="center"/>
                </w:tcPr>
                <w:p>
                  <w:pPr>
                    <w:pStyle w:val="43"/>
                    <w:spacing w:line="240" w:lineRule="auto"/>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31.0 </w:t>
                  </w:r>
                </w:p>
              </w:tc>
              <w:tc>
                <w:tcPr>
                  <w:tcW w:w="1060" w:type="dxa"/>
                  <w:tcBorders>
                    <w:tl2br w:val="nil"/>
                    <w:tr2bl w:val="nil"/>
                  </w:tcBorders>
                  <w:noWrap w:val="0"/>
                  <w:vAlign w:val="center"/>
                </w:tcPr>
                <w:p>
                  <w:pPr>
                    <w:pStyle w:val="43"/>
                    <w:spacing w:line="240" w:lineRule="auto"/>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38.3 </w:t>
                  </w:r>
                </w:p>
              </w:tc>
              <w:tc>
                <w:tcPr>
                  <w:tcW w:w="1168" w:type="dxa"/>
                  <w:tcBorders>
                    <w:tl2br w:val="nil"/>
                    <w:tr2bl w:val="nil"/>
                  </w:tcBorders>
                  <w:noWrap w:val="0"/>
                  <w:vAlign w:val="center"/>
                </w:tcPr>
                <w:p>
                  <w:pPr>
                    <w:pStyle w:val="43"/>
                    <w:spacing w:line="240" w:lineRule="auto"/>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43.7 </w:t>
                  </w:r>
                </w:p>
              </w:tc>
            </w:tr>
          </w:tbl>
          <w:p>
            <w:pPr>
              <w:pStyle w:val="10"/>
              <w:keepNext w:val="0"/>
              <w:keepLines w:val="0"/>
              <w:pageBreakBefore w:val="0"/>
              <w:widowControl w:val="0"/>
              <w:kinsoku/>
              <w:wordWrap/>
              <w:overflowPunct/>
              <w:topLinePunct w:val="0"/>
              <w:autoSpaceDE w:val="0"/>
              <w:autoSpaceDN w:val="0"/>
              <w:bidi w:val="0"/>
              <w:adjustRightInd/>
              <w:snapToGrid/>
              <w:spacing w:line="360" w:lineRule="auto"/>
              <w:ind w:firstLine="696" w:firstLineChars="3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spacing w:val="-4"/>
                <w:sz w:val="24"/>
                <w:szCs w:val="24"/>
                <w:lang w:val="en-US" w:eastAsia="zh-CN"/>
              </w:rPr>
              <w:t>监测结果表明：</w:t>
            </w:r>
            <w:r>
              <w:rPr>
                <w:rFonts w:hint="default" w:ascii="Times New Roman" w:hAnsi="Times New Roman" w:eastAsia="宋体" w:cs="Times New Roman"/>
                <w:color w:val="auto"/>
                <w:kern w:val="0"/>
                <w:sz w:val="24"/>
                <w:szCs w:val="24"/>
                <w:highlight w:val="none"/>
                <w:lang w:val="en-US" w:eastAsia="zh-CN"/>
              </w:rPr>
              <w:t>车间废气排气筒出口</w:t>
            </w:r>
            <w:r>
              <w:rPr>
                <w:rFonts w:hint="default" w:ascii="Times New Roman" w:hAnsi="Times New Roman" w:eastAsia="宋体" w:cs="Times New Roman"/>
                <w:color w:val="auto"/>
                <w:spacing w:val="-4"/>
                <w:sz w:val="24"/>
                <w:szCs w:val="24"/>
                <w:lang w:val="en-US" w:eastAsia="zh-CN"/>
              </w:rPr>
              <w:t>中粉尘</w:t>
            </w:r>
            <w:r>
              <w:rPr>
                <w:rFonts w:hint="default" w:ascii="Times New Roman" w:hAnsi="Times New Roman" w:eastAsia="宋体" w:cs="Times New Roman"/>
                <w:color w:val="auto"/>
                <w:spacing w:val="-4"/>
                <w:sz w:val="24"/>
                <w:szCs w:val="24"/>
                <w:vertAlign w:val="baseline"/>
                <w:lang w:val="en-US" w:eastAsia="zh-CN"/>
              </w:rPr>
              <w:t>最大浓度为</w:t>
            </w:r>
            <w:r>
              <w:rPr>
                <w:rFonts w:hint="eastAsia" w:ascii="Times New Roman" w:hAnsi="Times New Roman" w:eastAsia="宋体" w:cs="Times New Roman"/>
                <w:color w:val="auto"/>
                <w:spacing w:val="-4"/>
                <w:sz w:val="24"/>
                <w:szCs w:val="24"/>
                <w:vertAlign w:val="baseline"/>
                <w:lang w:val="en-US" w:eastAsia="zh-CN"/>
              </w:rPr>
              <w:t>24.8</w:t>
            </w:r>
            <w:r>
              <w:rPr>
                <w:rFonts w:hint="default" w:ascii="Times New Roman" w:hAnsi="Times New Roman" w:eastAsia="宋体" w:cs="Times New Roman"/>
                <w:color w:val="auto"/>
                <w:spacing w:val="-4"/>
                <w:sz w:val="24"/>
                <w:szCs w:val="24"/>
                <w:lang w:val="en-US" w:eastAsia="zh-CN"/>
              </w:rPr>
              <w:t>mg/m</w:t>
            </w:r>
            <w:r>
              <w:rPr>
                <w:rFonts w:hint="default" w:ascii="Times New Roman" w:hAnsi="Times New Roman" w:eastAsia="宋体" w:cs="Times New Roman"/>
                <w:color w:val="auto"/>
                <w:spacing w:val="-4"/>
                <w:sz w:val="24"/>
                <w:szCs w:val="24"/>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满足《大气污染物综合排放标准》（GB 16297-1996）二级排放标准</w:t>
            </w:r>
            <w:r>
              <w:rPr>
                <w:rFonts w:hint="default" w:ascii="Times New Roman" w:hAnsi="Times New Roman" w:eastAsia="宋体" w:cs="Times New Roman"/>
                <w:color w:val="auto"/>
                <w:spacing w:val="-4"/>
                <w:sz w:val="24"/>
                <w:szCs w:val="24"/>
                <w:lang w:val="en-US" w:eastAsia="zh-CN"/>
              </w:rPr>
              <w:t>；</w:t>
            </w:r>
            <w:r>
              <w:rPr>
                <w:rFonts w:hint="eastAsia" w:ascii="Times New Roman" w:hAnsi="Times New Roman" w:eastAsia="宋体" w:cs="Times New Roman"/>
                <w:color w:val="auto"/>
                <w:spacing w:val="-4"/>
                <w:sz w:val="24"/>
                <w:szCs w:val="24"/>
                <w:lang w:val="en-US" w:eastAsia="zh-CN"/>
              </w:rPr>
              <w:t>根据本次验收监测数据分析可知生物质</w:t>
            </w:r>
            <w:r>
              <w:rPr>
                <w:rFonts w:hint="default" w:ascii="Times New Roman" w:hAnsi="Times New Roman" w:eastAsia="宋体" w:cs="Times New Roman"/>
                <w:color w:val="auto"/>
                <w:kern w:val="0"/>
                <w:sz w:val="24"/>
                <w:szCs w:val="24"/>
                <w:highlight w:val="none"/>
                <w:lang w:val="en-US" w:eastAsia="zh-CN"/>
              </w:rPr>
              <w:t>锅炉废气排放口出口中</w:t>
            </w:r>
            <w:r>
              <w:rPr>
                <w:rFonts w:hint="eastAsia" w:ascii="Times New Roman" w:hAnsi="Times New Roman" w:eastAsia="宋体" w:cs="Times New Roman"/>
                <w:color w:val="auto"/>
                <w:kern w:val="0"/>
                <w:sz w:val="24"/>
                <w:szCs w:val="24"/>
                <w:highlight w:val="none"/>
                <w:lang w:val="en-US" w:eastAsia="zh-CN"/>
              </w:rPr>
              <w:t>颗粒物、</w:t>
            </w:r>
            <w:r>
              <w:rPr>
                <w:rFonts w:hint="default" w:ascii="Times New Roman" w:hAnsi="Times New Roman" w:eastAsia="宋体" w:cs="Times New Roman"/>
                <w:color w:val="auto"/>
                <w:spacing w:val="-4"/>
                <w:sz w:val="24"/>
                <w:szCs w:val="24"/>
                <w:lang w:val="en-US" w:eastAsia="zh-CN"/>
              </w:rPr>
              <w:t>SO</w:t>
            </w:r>
            <w:r>
              <w:rPr>
                <w:rFonts w:hint="default" w:ascii="Times New Roman" w:hAnsi="Times New Roman" w:eastAsia="宋体" w:cs="Times New Roman"/>
                <w:color w:val="auto"/>
                <w:spacing w:val="-4"/>
                <w:sz w:val="24"/>
                <w:szCs w:val="24"/>
                <w:vertAlign w:val="subscript"/>
                <w:lang w:val="en-US" w:eastAsia="zh-CN"/>
              </w:rPr>
              <w:t>2</w:t>
            </w:r>
            <w:r>
              <w:rPr>
                <w:rFonts w:hint="eastAsia" w:ascii="Times New Roman" w:hAnsi="Times New Roman" w:eastAsia="宋体" w:cs="Times New Roman"/>
                <w:color w:val="auto"/>
                <w:kern w:val="0"/>
                <w:sz w:val="24"/>
                <w:szCs w:val="24"/>
                <w:highlight w:val="none"/>
                <w:lang w:val="en-US" w:eastAsia="zh-CN"/>
              </w:rPr>
              <w:t>、</w:t>
            </w:r>
            <w:r>
              <w:rPr>
                <w:rFonts w:hint="eastAsia" w:ascii="Times New Roman" w:hAnsi="Times New Roman" w:eastAsia="宋体" w:cs="Times New Roman"/>
                <w:color w:val="auto"/>
                <w:spacing w:val="-4"/>
                <w:sz w:val="24"/>
                <w:szCs w:val="24"/>
                <w:lang w:val="en-US" w:eastAsia="zh-CN"/>
              </w:rPr>
              <w:t>NOx最大</w:t>
            </w:r>
            <w:r>
              <w:rPr>
                <w:rFonts w:hint="default" w:ascii="Times New Roman" w:hAnsi="Times New Roman" w:eastAsia="宋体" w:cs="Times New Roman"/>
                <w:color w:val="auto"/>
                <w:spacing w:val="-4"/>
                <w:sz w:val="24"/>
                <w:szCs w:val="24"/>
                <w:vertAlign w:val="baseline"/>
                <w:lang w:val="en-US" w:eastAsia="zh-CN"/>
              </w:rPr>
              <w:t>浓度</w:t>
            </w:r>
            <w:r>
              <w:rPr>
                <w:rFonts w:hint="eastAsia" w:ascii="Times New Roman" w:hAnsi="Times New Roman" w:eastAsia="宋体" w:cs="Times New Roman"/>
                <w:color w:val="auto"/>
                <w:spacing w:val="-4"/>
                <w:sz w:val="24"/>
                <w:szCs w:val="24"/>
                <w:vertAlign w:val="baseline"/>
                <w:lang w:val="en-US" w:eastAsia="zh-CN"/>
              </w:rPr>
              <w:t>分别为：24.9</w:t>
            </w:r>
            <w:r>
              <w:rPr>
                <w:rFonts w:hint="default" w:ascii="Times New Roman" w:hAnsi="Times New Roman" w:eastAsia="宋体" w:cs="Times New Roman"/>
                <w:color w:val="auto"/>
                <w:spacing w:val="-4"/>
                <w:sz w:val="24"/>
                <w:szCs w:val="24"/>
                <w:lang w:val="en-US" w:eastAsia="zh-CN"/>
              </w:rPr>
              <w:t>mg/m</w:t>
            </w:r>
            <w:r>
              <w:rPr>
                <w:rFonts w:hint="default" w:ascii="Times New Roman" w:hAnsi="Times New Roman" w:eastAsia="宋体" w:cs="Times New Roman"/>
                <w:color w:val="auto"/>
                <w:spacing w:val="-4"/>
                <w:sz w:val="24"/>
                <w:szCs w:val="24"/>
                <w:vertAlign w:val="superscript"/>
                <w:lang w:val="en-US" w:eastAsia="zh-CN"/>
              </w:rPr>
              <w:t>3</w:t>
            </w:r>
            <w:r>
              <w:rPr>
                <w:rFonts w:hint="eastAsia" w:ascii="Times New Roman" w:hAnsi="Times New Roman" w:eastAsia="宋体" w:cs="Times New Roman"/>
                <w:color w:val="auto"/>
                <w:kern w:val="0"/>
                <w:sz w:val="24"/>
                <w:szCs w:val="24"/>
                <w:highlight w:val="none"/>
                <w:lang w:val="en-US" w:eastAsia="zh-CN"/>
              </w:rPr>
              <w:t>、</w:t>
            </w:r>
            <w:r>
              <w:rPr>
                <w:rFonts w:hint="eastAsia" w:ascii="Times New Roman" w:hAnsi="Times New Roman" w:eastAsia="宋体" w:cs="Times New Roman"/>
                <w:color w:val="auto"/>
                <w:kern w:val="2"/>
                <w:sz w:val="24"/>
                <w:szCs w:val="24"/>
                <w:lang w:val="en-US" w:eastAsia="zh-CN" w:bidi="ar-SA"/>
              </w:rPr>
              <w:t>＜3</w:t>
            </w:r>
            <w:r>
              <w:rPr>
                <w:rFonts w:hint="default" w:ascii="Times New Roman" w:hAnsi="Times New Roman" w:eastAsia="宋体" w:cs="Times New Roman"/>
                <w:color w:val="auto"/>
                <w:spacing w:val="-4"/>
                <w:sz w:val="24"/>
                <w:szCs w:val="24"/>
                <w:lang w:val="en-US" w:eastAsia="zh-CN"/>
              </w:rPr>
              <w:t>mg/m</w:t>
            </w:r>
            <w:r>
              <w:rPr>
                <w:rFonts w:hint="default" w:ascii="Times New Roman" w:hAnsi="Times New Roman" w:eastAsia="宋体" w:cs="Times New Roman"/>
                <w:color w:val="auto"/>
                <w:spacing w:val="-4"/>
                <w:sz w:val="24"/>
                <w:szCs w:val="24"/>
                <w:vertAlign w:val="superscript"/>
                <w:lang w:val="en-US" w:eastAsia="zh-CN"/>
              </w:rPr>
              <w:t>3</w:t>
            </w:r>
            <w:r>
              <w:rPr>
                <w:rFonts w:hint="eastAsia" w:ascii="Times New Roman" w:hAnsi="Times New Roman" w:eastAsia="宋体" w:cs="Times New Roman"/>
                <w:color w:val="auto"/>
                <w:kern w:val="0"/>
                <w:sz w:val="24"/>
                <w:szCs w:val="24"/>
                <w:highlight w:val="none"/>
                <w:lang w:val="en-US" w:eastAsia="zh-CN"/>
              </w:rPr>
              <w:t>、43.7</w:t>
            </w:r>
            <w:r>
              <w:rPr>
                <w:rFonts w:hint="default" w:ascii="Times New Roman" w:hAnsi="Times New Roman" w:eastAsia="宋体" w:cs="Times New Roman"/>
                <w:color w:val="auto"/>
                <w:spacing w:val="-4"/>
                <w:sz w:val="24"/>
                <w:szCs w:val="24"/>
                <w:lang w:val="en-US" w:eastAsia="zh-CN"/>
              </w:rPr>
              <w:t>mg/m</w:t>
            </w:r>
            <w:r>
              <w:rPr>
                <w:rFonts w:hint="default" w:ascii="Times New Roman" w:hAnsi="Times New Roman" w:eastAsia="宋体" w:cs="Times New Roman"/>
                <w:color w:val="auto"/>
                <w:spacing w:val="-4"/>
                <w:sz w:val="24"/>
                <w:szCs w:val="24"/>
                <w:vertAlign w:val="superscript"/>
                <w:lang w:val="en-US" w:eastAsia="zh-CN"/>
              </w:rPr>
              <w:t>3</w:t>
            </w:r>
            <w:r>
              <w:rPr>
                <w:rFonts w:hint="eastAsia" w:ascii="Times New Roman" w:hAnsi="Times New Roman" w:eastAsia="宋体" w:cs="Times New Roman"/>
                <w:color w:val="auto"/>
                <w:kern w:val="0"/>
                <w:sz w:val="24"/>
                <w:szCs w:val="24"/>
                <w:highlight w:val="none"/>
                <w:lang w:val="en-US" w:eastAsia="zh-CN"/>
              </w:rPr>
              <w:t>均能</w:t>
            </w:r>
            <w:r>
              <w:rPr>
                <w:rFonts w:hint="default" w:ascii="Times New Roman" w:hAnsi="Times New Roman" w:eastAsia="宋体" w:cs="Times New Roman"/>
                <w:color w:val="auto"/>
                <w:kern w:val="0"/>
                <w:sz w:val="24"/>
                <w:szCs w:val="24"/>
                <w:highlight w:val="none"/>
                <w:lang w:val="en-US" w:eastAsia="zh-CN"/>
              </w:rPr>
              <w:t>满足《锅炉大气污染物排放标准》（GB13271-2014）中表</w:t>
            </w:r>
            <w:r>
              <w:rPr>
                <w:rFonts w:hint="eastAsia" w:ascii="Times New Roman" w:hAnsi="Times New Roman" w:eastAsia="宋体" w:cs="Times New Roman"/>
                <w:color w:val="auto"/>
                <w:kern w:val="0"/>
                <w:sz w:val="24"/>
                <w:szCs w:val="24"/>
                <w:highlight w:val="none"/>
                <w:lang w:val="en-US" w:eastAsia="zh-CN"/>
              </w:rPr>
              <w:t>3中</w:t>
            </w:r>
            <w:r>
              <w:rPr>
                <w:rFonts w:hint="default" w:ascii="Times New Roman" w:hAnsi="Times New Roman" w:eastAsia="宋体" w:cs="Times New Roman"/>
                <w:color w:val="auto"/>
                <w:kern w:val="0"/>
                <w:sz w:val="24"/>
                <w:szCs w:val="24"/>
                <w:highlight w:val="none"/>
                <w:lang w:val="en-US" w:eastAsia="zh-CN"/>
              </w:rPr>
              <w:t>规定的大气污染物特别排放限值</w:t>
            </w:r>
            <w:r>
              <w:rPr>
                <w:rFonts w:hint="eastAsia" w:ascii="Times New Roman" w:hAnsi="Times New Roman" w:eastAsia="宋体" w:cs="Times New Roman"/>
                <w:color w:val="auto"/>
                <w:kern w:val="0"/>
                <w:sz w:val="24"/>
                <w:szCs w:val="24"/>
                <w:highlight w:val="none"/>
                <w:lang w:val="en-US" w:eastAsia="zh-CN"/>
              </w:rPr>
              <w:t>要求</w:t>
            </w:r>
            <w:r>
              <w:rPr>
                <w:rFonts w:hint="default" w:ascii="Times New Roman" w:hAnsi="Times New Roman" w:eastAsia="宋体" w:cs="Times New Roman"/>
                <w:color w:val="auto"/>
                <w:spacing w:val="-4"/>
                <w:sz w:val="24"/>
                <w:szCs w:val="24"/>
                <w:lang w:val="en-US" w:eastAsia="zh-CN"/>
              </w:rPr>
              <w:t>。</w:t>
            </w:r>
            <w:bookmarkStart w:id="4" w:name="_Toc14095_WPSOffice_Level2"/>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64" w:firstLineChars="200"/>
              <w:jc w:val="both"/>
              <w:textAlignment w:val="auto"/>
              <w:rPr>
                <w:rFonts w:hint="default" w:ascii="Times New Roman" w:hAnsi="Times New Roman" w:eastAsia="宋体" w:cs="Times New Roman"/>
                <w:b w:val="0"/>
                <w:bCs w:val="0"/>
                <w:color w:val="auto"/>
                <w:spacing w:val="-4"/>
                <w:sz w:val="24"/>
                <w:szCs w:val="24"/>
                <w:lang w:val="en-US" w:eastAsia="zh-CN"/>
              </w:rPr>
            </w:pPr>
            <w:bookmarkStart w:id="5" w:name="_Toc31091"/>
            <w:r>
              <w:rPr>
                <w:rFonts w:hint="default" w:ascii="Times New Roman" w:hAnsi="Times New Roman" w:eastAsia="宋体" w:cs="Times New Roman"/>
                <w:b w:val="0"/>
                <w:bCs w:val="0"/>
                <w:color w:val="auto"/>
                <w:spacing w:val="-4"/>
                <w:sz w:val="24"/>
                <w:szCs w:val="24"/>
                <w:lang w:val="en-US" w:eastAsia="zh-CN"/>
              </w:rPr>
              <w:t>无组织排放</w:t>
            </w:r>
            <w:bookmarkEnd w:id="4"/>
            <w:bookmarkEnd w:id="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4" w:firstLineChars="200"/>
              <w:jc w:val="both"/>
              <w:textAlignment w:val="auto"/>
              <w:rPr>
                <w:rFonts w:hint="default" w:ascii="Times New Roman" w:hAnsi="Times New Roman" w:eastAsia="宋体" w:cs="Times New Roman"/>
                <w:color w:val="auto"/>
                <w:spacing w:val="-4"/>
                <w:sz w:val="24"/>
                <w:szCs w:val="24"/>
                <w:lang w:val="en-US" w:eastAsia="zh-CN"/>
              </w:rPr>
            </w:pPr>
            <w:r>
              <w:rPr>
                <w:rFonts w:hint="default" w:ascii="Times New Roman" w:hAnsi="Times New Roman" w:eastAsia="宋体" w:cs="Times New Roman"/>
                <w:color w:val="auto"/>
                <w:spacing w:val="-4"/>
                <w:sz w:val="24"/>
                <w:szCs w:val="24"/>
                <w:lang w:val="en-US" w:eastAsia="zh-CN"/>
              </w:rPr>
              <w:t>废气无组织排放监测期间气象参数见表18、监测结果见表19。</w:t>
            </w:r>
          </w:p>
          <w:p>
            <w:pPr>
              <w:spacing w:line="360" w:lineRule="auto"/>
              <w:jc w:val="center"/>
              <w:rPr>
                <w:rFonts w:hint="default" w:ascii="Times New Roman" w:hAnsi="Times New Roman" w:eastAsia="宋体" w:cs="Times New Roman"/>
                <w:b/>
                <w:bCs/>
                <w:color w:val="auto"/>
                <w:sz w:val="21"/>
                <w:szCs w:val="21"/>
                <w:lang w:val="en-US" w:eastAsia="zh-CN"/>
              </w:rPr>
            </w:pPr>
            <w:bookmarkStart w:id="6" w:name="_Toc27409_WPSOffice_Level3"/>
            <w:r>
              <w:rPr>
                <w:rFonts w:hint="default" w:ascii="Times New Roman" w:hAnsi="Times New Roman" w:eastAsia="宋体" w:cs="Times New Roman"/>
                <w:b/>
                <w:bCs/>
                <w:color w:val="auto"/>
                <w:sz w:val="21"/>
                <w:szCs w:val="21"/>
                <w:lang w:val="en-US" w:eastAsia="zh-CN"/>
              </w:rPr>
              <w:t>表18  厂区无组织监测期间气象参数</w:t>
            </w:r>
            <w:bookmarkEnd w:id="6"/>
          </w:p>
          <w:tbl>
            <w:tblPr>
              <w:tblStyle w:val="1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69"/>
              <w:gridCol w:w="1769"/>
              <w:gridCol w:w="1769"/>
              <w:gridCol w:w="1769"/>
              <w:gridCol w:w="15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2" w:type="pc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检测时间</w:t>
                  </w:r>
                </w:p>
              </w:tc>
              <w:tc>
                <w:tcPr>
                  <w:tcW w:w="1022" w:type="pc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环境温度</w:t>
                  </w:r>
                </w:p>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kern w:val="0"/>
                      <w:sz w:val="21"/>
                      <w:szCs w:val="21"/>
                      <w:lang w:val="en-US" w:eastAsia="en-US" w:bidi="ar-SA"/>
                    </w:rPr>
                  </w:pPr>
                  <w:r>
                    <w:rPr>
                      <w:rFonts w:hint="default" w:ascii="Times New Roman" w:hAnsi="Times New Roman" w:eastAsia="宋体" w:cs="Times New Roman"/>
                      <w:b/>
                      <w:bCs/>
                      <w:color w:val="auto"/>
                      <w:sz w:val="21"/>
                      <w:szCs w:val="21"/>
                    </w:rPr>
                    <w:t>（℃）</w:t>
                  </w:r>
                </w:p>
              </w:tc>
              <w:tc>
                <w:tcPr>
                  <w:tcW w:w="1022" w:type="pc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val="en-US" w:eastAsia="zh-CN"/>
                    </w:rPr>
                    <w:t>风向</w:t>
                  </w:r>
                </w:p>
              </w:tc>
              <w:tc>
                <w:tcPr>
                  <w:tcW w:w="1022" w:type="pc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环境气压</w:t>
                  </w:r>
                </w:p>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（kPa）</w:t>
                  </w:r>
                </w:p>
              </w:tc>
              <w:tc>
                <w:tcPr>
                  <w:tcW w:w="910" w:type="pc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风速</w:t>
                  </w:r>
                </w:p>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r>
                    <w:rPr>
                      <w:rFonts w:hint="default" w:ascii="Times New Roman" w:hAnsi="Times New Roman" w:eastAsia="宋体"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05</w:t>
                  </w:r>
                </w:p>
              </w:tc>
              <w:tc>
                <w:tcPr>
                  <w:tcW w:w="102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22-24</w:t>
                  </w:r>
                </w:p>
              </w:tc>
              <w:tc>
                <w:tcPr>
                  <w:tcW w:w="102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北</w:t>
                  </w:r>
                </w:p>
              </w:tc>
              <w:tc>
                <w:tcPr>
                  <w:tcW w:w="102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101.1-101.6</w:t>
                  </w:r>
                </w:p>
              </w:tc>
              <w:tc>
                <w:tcPr>
                  <w:tcW w:w="91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r>
                    <w:rPr>
                      <w:rFonts w:hint="default" w:ascii="Times New Roman" w:hAnsi="Times New Roman" w:eastAsia="宋体" w:cs="Times New Roman"/>
                      <w:color w:val="auto"/>
                      <w:sz w:val="21"/>
                      <w:szCs w:val="21"/>
                      <w:lang w:val="en-US" w:eastAsia="zh-CN"/>
                    </w:rPr>
                    <w:t>20</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06</w:t>
                  </w:r>
                </w:p>
              </w:tc>
              <w:tc>
                <w:tcPr>
                  <w:tcW w:w="102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highlight w:val="none"/>
                      <w:lang w:val="en-US" w:eastAsia="zh-CN"/>
                    </w:rPr>
                    <w:t>16-18</w:t>
                  </w:r>
                </w:p>
              </w:tc>
              <w:tc>
                <w:tcPr>
                  <w:tcW w:w="102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西南</w:t>
                  </w:r>
                </w:p>
              </w:tc>
              <w:tc>
                <w:tcPr>
                  <w:tcW w:w="102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kern w:val="0"/>
                      <w:sz w:val="21"/>
                      <w:szCs w:val="21"/>
                      <w:highlight w:val="none"/>
                      <w:lang w:val="en-US" w:eastAsia="zh-CN"/>
                    </w:rPr>
                    <w:t>101.3-101.8</w:t>
                  </w:r>
                </w:p>
              </w:tc>
              <w:tc>
                <w:tcPr>
                  <w:tcW w:w="91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1.0</w:t>
                  </w:r>
                </w:p>
              </w:tc>
            </w:tr>
          </w:tbl>
          <w:p>
            <w:pPr>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表19  厂区无组织排放监测结果</w:t>
            </w:r>
          </w:p>
          <w:tbl>
            <w:tblPr>
              <w:tblStyle w:val="1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1939"/>
              <w:gridCol w:w="1445"/>
              <w:gridCol w:w="1366"/>
              <w:gridCol w:w="25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761" w:type="pct"/>
                  <w:vMerge w:val="restar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pacing w:val="-4"/>
                      <w:sz w:val="21"/>
                      <w:szCs w:val="21"/>
                      <w:vertAlign w:val="baseline"/>
                      <w:lang w:val="en-US" w:eastAsia="zh-CN"/>
                    </w:rPr>
                  </w:pPr>
                  <w:r>
                    <w:rPr>
                      <w:rFonts w:hint="default" w:ascii="Times New Roman" w:hAnsi="Times New Roman" w:eastAsia="宋体" w:cs="Times New Roman"/>
                      <w:b/>
                      <w:bCs/>
                      <w:color w:val="auto"/>
                      <w:spacing w:val="-4"/>
                      <w:sz w:val="21"/>
                      <w:szCs w:val="21"/>
                      <w:vertAlign w:val="baseline"/>
                      <w:lang w:val="en-US" w:eastAsia="zh-CN"/>
                    </w:rPr>
                    <w:t>监测点位</w:t>
                  </w:r>
                </w:p>
              </w:tc>
              <w:tc>
                <w:tcPr>
                  <w:tcW w:w="1120" w:type="pct"/>
                  <w:vMerge w:val="restar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pacing w:val="-4"/>
                      <w:sz w:val="21"/>
                      <w:szCs w:val="21"/>
                      <w:vertAlign w:val="baseline"/>
                      <w:lang w:val="en-US" w:eastAsia="zh-CN"/>
                    </w:rPr>
                  </w:pPr>
                  <w:r>
                    <w:rPr>
                      <w:rFonts w:hint="default" w:ascii="Times New Roman" w:hAnsi="Times New Roman" w:eastAsia="宋体" w:cs="Times New Roman"/>
                      <w:b/>
                      <w:bCs/>
                      <w:color w:val="auto"/>
                      <w:spacing w:val="-4"/>
                      <w:sz w:val="21"/>
                      <w:szCs w:val="21"/>
                      <w:vertAlign w:val="baseline"/>
                      <w:lang w:val="en-US" w:eastAsia="zh-CN"/>
                    </w:rPr>
                    <w:t>监测日期</w:t>
                  </w:r>
                </w:p>
              </w:tc>
              <w:tc>
                <w:tcPr>
                  <w:tcW w:w="833" w:type="pct"/>
                  <w:vMerge w:val="restar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pacing w:val="-4"/>
                      <w:sz w:val="21"/>
                      <w:szCs w:val="21"/>
                      <w:vertAlign w:val="baseline"/>
                      <w:lang w:val="en-US" w:eastAsia="zh-CN"/>
                    </w:rPr>
                  </w:pPr>
                  <w:r>
                    <w:rPr>
                      <w:rFonts w:hint="default" w:ascii="Times New Roman" w:hAnsi="Times New Roman" w:eastAsia="宋体" w:cs="Times New Roman"/>
                      <w:b/>
                      <w:bCs/>
                      <w:color w:val="auto"/>
                      <w:spacing w:val="-4"/>
                      <w:sz w:val="21"/>
                      <w:szCs w:val="21"/>
                      <w:vertAlign w:val="baseline"/>
                      <w:lang w:val="en-US" w:eastAsia="zh-CN"/>
                    </w:rPr>
                    <w:t>监测频次</w:t>
                  </w:r>
                </w:p>
              </w:tc>
              <w:tc>
                <w:tcPr>
                  <w:tcW w:w="789" w:type="pct"/>
                  <w:vMerge w:val="restar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pacing w:val="-4"/>
                      <w:sz w:val="21"/>
                      <w:szCs w:val="21"/>
                      <w:vertAlign w:val="baseline"/>
                      <w:lang w:val="en-US" w:eastAsia="zh-CN"/>
                    </w:rPr>
                  </w:pPr>
                  <w:r>
                    <w:rPr>
                      <w:rFonts w:hint="default" w:ascii="Times New Roman" w:hAnsi="Times New Roman" w:eastAsia="宋体" w:cs="Times New Roman"/>
                      <w:b/>
                      <w:bCs/>
                      <w:color w:val="auto"/>
                      <w:spacing w:val="-4"/>
                      <w:sz w:val="21"/>
                      <w:szCs w:val="21"/>
                      <w:vertAlign w:val="baseline"/>
                      <w:lang w:val="en-US" w:eastAsia="zh-CN"/>
                    </w:rPr>
                    <w:t>单位</w:t>
                  </w:r>
                </w:p>
              </w:tc>
              <w:tc>
                <w:tcPr>
                  <w:tcW w:w="1494" w:type="pc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pacing w:val="-4"/>
                      <w:sz w:val="21"/>
                      <w:szCs w:val="21"/>
                      <w:vertAlign w:val="baseline"/>
                      <w:lang w:val="en-US" w:eastAsia="zh-CN"/>
                    </w:rPr>
                  </w:pPr>
                  <w:r>
                    <w:rPr>
                      <w:rFonts w:hint="default" w:ascii="Times New Roman" w:hAnsi="Times New Roman" w:eastAsia="宋体" w:cs="Times New Roman"/>
                      <w:b/>
                      <w:bCs/>
                      <w:color w:val="auto"/>
                      <w:spacing w:val="-4"/>
                      <w:sz w:val="21"/>
                      <w:szCs w:val="21"/>
                      <w:vertAlign w:val="baseline"/>
                      <w:lang w:val="en-US" w:eastAsia="zh-CN"/>
                    </w:rPr>
                    <w:t>监测项目及结果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761" w:type="pct"/>
                  <w:vMerge w:val="continue"/>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z w:val="21"/>
                      <w:szCs w:val="21"/>
                    </w:rPr>
                  </w:pPr>
                </w:p>
              </w:tc>
              <w:tc>
                <w:tcPr>
                  <w:tcW w:w="1120" w:type="pct"/>
                  <w:vMerge w:val="continue"/>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z w:val="21"/>
                      <w:szCs w:val="21"/>
                    </w:rPr>
                  </w:pPr>
                </w:p>
              </w:tc>
              <w:tc>
                <w:tcPr>
                  <w:tcW w:w="833" w:type="pct"/>
                  <w:vMerge w:val="continue"/>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z w:val="21"/>
                      <w:szCs w:val="21"/>
                    </w:rPr>
                  </w:pPr>
                </w:p>
              </w:tc>
              <w:tc>
                <w:tcPr>
                  <w:tcW w:w="789" w:type="pct"/>
                  <w:vMerge w:val="continue"/>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z w:val="21"/>
                      <w:szCs w:val="21"/>
                    </w:rPr>
                  </w:pPr>
                </w:p>
              </w:tc>
              <w:tc>
                <w:tcPr>
                  <w:tcW w:w="1494" w:type="pc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pacing w:val="-4"/>
                      <w:sz w:val="21"/>
                      <w:szCs w:val="21"/>
                      <w:vertAlign w:val="baseline"/>
                      <w:lang w:val="en-US" w:eastAsia="zh-CN"/>
                    </w:rPr>
                  </w:pPr>
                  <w:r>
                    <w:rPr>
                      <w:rFonts w:hint="default" w:ascii="Times New Roman" w:hAnsi="Times New Roman" w:eastAsia="宋体" w:cs="Times New Roman"/>
                      <w:b/>
                      <w:bCs/>
                      <w:color w:val="auto"/>
                      <w:spacing w:val="-4"/>
                      <w:sz w:val="21"/>
                      <w:szCs w:val="21"/>
                      <w:vertAlign w:val="baseline"/>
                      <w:lang w:val="en-US" w:eastAsia="zh-CN"/>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lang w:val="en-US" w:eastAsia="zh-CN"/>
                    </w:rPr>
                  </w:pPr>
                  <w:r>
                    <w:rPr>
                      <w:rFonts w:hint="default" w:ascii="Times New Roman" w:hAnsi="Times New Roman" w:eastAsia="宋体" w:cs="Times New Roman"/>
                      <w:color w:val="auto"/>
                      <w:kern w:val="0"/>
                      <w:sz w:val="21"/>
                      <w:szCs w:val="21"/>
                      <w:highlight w:val="none"/>
                      <w:lang w:val="en-US" w:eastAsia="zh-CN"/>
                    </w:rPr>
                    <w:t>下风向1号点</w:t>
                  </w:r>
                </w:p>
              </w:tc>
              <w:tc>
                <w:tcPr>
                  <w:tcW w:w="1120"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lang w:val="en-US" w:eastAsia="zh-CN"/>
                    </w:rPr>
                  </w:pPr>
                  <w:r>
                    <w:rPr>
                      <w:rFonts w:hint="default" w:ascii="Times New Roman" w:hAnsi="Times New Roman" w:eastAsia="宋体" w:cs="Times New Roman"/>
                      <w:color w:val="auto"/>
                      <w:spacing w:val="-4"/>
                      <w:sz w:val="21"/>
                      <w:szCs w:val="21"/>
                      <w:vertAlign w:val="baseline"/>
                      <w:lang w:val="en-US" w:eastAsia="zh-CN"/>
                    </w:rPr>
                    <w:t>202</w:t>
                  </w:r>
                  <w:r>
                    <w:rPr>
                      <w:rFonts w:hint="eastAsia" w:ascii="Times New Roman" w:hAnsi="Times New Roman" w:eastAsia="宋体" w:cs="Times New Roman"/>
                      <w:color w:val="auto"/>
                      <w:spacing w:val="-4"/>
                      <w:sz w:val="21"/>
                      <w:szCs w:val="21"/>
                      <w:vertAlign w:val="baseline"/>
                      <w:lang w:val="en-US" w:eastAsia="zh-CN"/>
                    </w:rPr>
                    <w:t>1</w:t>
                  </w:r>
                  <w:r>
                    <w:rPr>
                      <w:rFonts w:hint="default" w:ascii="Times New Roman" w:hAnsi="Times New Roman" w:eastAsia="宋体" w:cs="Times New Roman"/>
                      <w:color w:val="auto"/>
                      <w:spacing w:val="-4"/>
                      <w:sz w:val="21"/>
                      <w:szCs w:val="21"/>
                      <w:vertAlign w:val="baseline"/>
                      <w:lang w:val="en-US" w:eastAsia="zh-CN"/>
                    </w:rPr>
                    <w:t>.</w:t>
                  </w:r>
                  <w:r>
                    <w:rPr>
                      <w:rFonts w:hint="eastAsia" w:ascii="Times New Roman" w:hAnsi="Times New Roman" w:eastAsia="宋体" w:cs="Times New Roman"/>
                      <w:color w:val="auto"/>
                      <w:spacing w:val="-4"/>
                      <w:sz w:val="21"/>
                      <w:szCs w:val="21"/>
                      <w:vertAlign w:val="baseline"/>
                      <w:lang w:val="en-US" w:eastAsia="zh-CN"/>
                    </w:rPr>
                    <w:t>5</w:t>
                  </w:r>
                  <w:r>
                    <w:rPr>
                      <w:rFonts w:hint="default" w:ascii="Times New Roman" w:hAnsi="Times New Roman" w:eastAsia="宋体" w:cs="Times New Roman"/>
                      <w:color w:val="auto"/>
                      <w:spacing w:val="-4"/>
                      <w:sz w:val="21"/>
                      <w:szCs w:val="21"/>
                      <w:vertAlign w:val="baseline"/>
                      <w:lang w:val="en-US" w:eastAsia="zh-CN"/>
                    </w:rPr>
                    <w:t>.</w:t>
                  </w:r>
                  <w:r>
                    <w:rPr>
                      <w:rFonts w:hint="eastAsia" w:ascii="Times New Roman" w:hAnsi="Times New Roman" w:eastAsia="宋体" w:cs="Times New Roman"/>
                      <w:color w:val="auto"/>
                      <w:spacing w:val="-4"/>
                      <w:sz w:val="21"/>
                      <w:szCs w:val="21"/>
                      <w:vertAlign w:val="baseline"/>
                      <w:lang w:val="en-US" w:eastAsia="zh-CN"/>
                    </w:rPr>
                    <w:t>05</w:t>
                  </w: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lang w:val="en-US" w:eastAsia="zh-CN"/>
                    </w:rPr>
                  </w:pPr>
                  <w:r>
                    <w:rPr>
                      <w:rFonts w:hint="default" w:ascii="Times New Roman" w:hAnsi="Times New Roman" w:eastAsia="宋体" w:cs="Times New Roman"/>
                      <w:color w:val="auto"/>
                      <w:spacing w:val="-4"/>
                      <w:sz w:val="21"/>
                      <w:szCs w:val="21"/>
                      <w:vertAlign w:val="baseline"/>
                      <w:lang w:val="en-US" w:eastAsia="zh-CN"/>
                    </w:rPr>
                    <w:t>第1次</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lang w:val="en-US" w:eastAsia="zh-CN"/>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0.109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112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lang w:val="en-US" w:eastAsia="zh-CN"/>
                    </w:rPr>
                  </w:pPr>
                  <w:r>
                    <w:rPr>
                      <w:rFonts w:hint="default" w:ascii="Times New Roman" w:hAnsi="Times New Roman" w:eastAsia="宋体" w:cs="Times New Roman"/>
                      <w:color w:val="auto"/>
                      <w:spacing w:val="-4"/>
                      <w:sz w:val="21"/>
                      <w:szCs w:val="21"/>
                      <w:vertAlign w:val="baseline"/>
                      <w:lang w:val="en-US" w:eastAsia="zh-CN"/>
                    </w:rPr>
                    <w:t>第2次</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vertAlign w:val="baseline"/>
                      <w:lang w:val="en-US"/>
                    </w:rPr>
                  </w:pPr>
                  <w:r>
                    <w:rPr>
                      <w:rFonts w:hint="default" w:ascii="Times New Roman" w:hAnsi="Times New Roman" w:eastAsia="宋体" w:cs="Times New Roman"/>
                      <w:i w:val="0"/>
                      <w:iCs w:val="0"/>
                      <w:color w:val="auto"/>
                      <w:kern w:val="0"/>
                      <w:sz w:val="21"/>
                      <w:szCs w:val="21"/>
                      <w:u w:val="none"/>
                      <w:lang w:val="en-US" w:eastAsia="zh-CN" w:bidi="ar"/>
                    </w:rPr>
                    <w:t>0.092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112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lang w:val="en-US" w:eastAsia="zh-CN"/>
                    </w:rPr>
                  </w:pPr>
                  <w:r>
                    <w:rPr>
                      <w:rFonts w:hint="default" w:ascii="Times New Roman" w:hAnsi="Times New Roman" w:eastAsia="宋体" w:cs="Times New Roman"/>
                      <w:color w:val="auto"/>
                      <w:spacing w:val="-4"/>
                      <w:sz w:val="21"/>
                      <w:szCs w:val="21"/>
                      <w:vertAlign w:val="baseline"/>
                      <w:lang w:val="en-US" w:eastAsia="zh-CN"/>
                    </w:rPr>
                    <w:t>第3次</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vertAlign w:val="baseline"/>
                      <w:lang w:val="en-US"/>
                    </w:rPr>
                  </w:pPr>
                  <w:r>
                    <w:rPr>
                      <w:rFonts w:hint="default" w:ascii="Times New Roman" w:hAnsi="Times New Roman" w:eastAsia="宋体" w:cs="Times New Roman"/>
                      <w:i w:val="0"/>
                      <w:iCs w:val="0"/>
                      <w:color w:val="auto"/>
                      <w:kern w:val="0"/>
                      <w:sz w:val="21"/>
                      <w:szCs w:val="21"/>
                      <w:u w:val="none"/>
                      <w:lang w:val="en-US" w:eastAsia="zh-CN" w:bidi="ar"/>
                    </w:rPr>
                    <w:t>0.128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112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lang w:val="en-US" w:eastAsia="zh-CN"/>
                    </w:rPr>
                  </w:pPr>
                  <w:r>
                    <w:rPr>
                      <w:rFonts w:hint="default" w:ascii="Times New Roman" w:hAnsi="Times New Roman" w:eastAsia="宋体" w:cs="Times New Roman"/>
                      <w:color w:val="auto"/>
                      <w:spacing w:val="-4"/>
                      <w:sz w:val="21"/>
                      <w:szCs w:val="21"/>
                      <w:vertAlign w:val="baseline"/>
                      <w:lang w:val="en-US" w:eastAsia="zh-CN"/>
                    </w:rPr>
                    <w:t>第</w:t>
                  </w:r>
                  <w:r>
                    <w:rPr>
                      <w:rFonts w:hint="eastAsia" w:ascii="Times New Roman" w:hAnsi="Times New Roman" w:eastAsia="宋体" w:cs="Times New Roman"/>
                      <w:color w:val="auto"/>
                      <w:spacing w:val="-4"/>
                      <w:sz w:val="21"/>
                      <w:szCs w:val="21"/>
                      <w:vertAlign w:val="baseline"/>
                      <w:lang w:val="en-US" w:eastAsia="zh-CN"/>
                    </w:rPr>
                    <w:t>4</w:t>
                  </w:r>
                  <w:r>
                    <w:rPr>
                      <w:rFonts w:hint="default" w:ascii="Times New Roman" w:hAnsi="Times New Roman" w:eastAsia="宋体" w:cs="Times New Roman"/>
                      <w:color w:val="auto"/>
                      <w:spacing w:val="-4"/>
                      <w:sz w:val="21"/>
                      <w:szCs w:val="21"/>
                      <w:vertAlign w:val="baseline"/>
                      <w:lang w:val="en-US" w:eastAsia="zh-CN"/>
                    </w:rPr>
                    <w:t>次</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1120"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lang w:val="en-US" w:eastAsia="zh-CN"/>
                    </w:rPr>
                  </w:pPr>
                  <w:r>
                    <w:rPr>
                      <w:rFonts w:hint="default" w:ascii="Times New Roman" w:hAnsi="Times New Roman" w:eastAsia="宋体" w:cs="Times New Roman"/>
                      <w:color w:val="auto"/>
                      <w:spacing w:val="-4"/>
                      <w:sz w:val="21"/>
                      <w:szCs w:val="21"/>
                      <w:vertAlign w:val="baseline"/>
                      <w:lang w:val="en-US" w:eastAsia="zh-CN"/>
                    </w:rPr>
                    <w:t>202</w:t>
                  </w:r>
                  <w:r>
                    <w:rPr>
                      <w:rFonts w:hint="eastAsia" w:ascii="Times New Roman" w:hAnsi="Times New Roman" w:eastAsia="宋体" w:cs="Times New Roman"/>
                      <w:color w:val="auto"/>
                      <w:spacing w:val="-4"/>
                      <w:sz w:val="21"/>
                      <w:szCs w:val="21"/>
                      <w:vertAlign w:val="baseline"/>
                      <w:lang w:val="en-US" w:eastAsia="zh-CN"/>
                    </w:rPr>
                    <w:t>1</w:t>
                  </w:r>
                  <w:r>
                    <w:rPr>
                      <w:rFonts w:hint="default" w:ascii="Times New Roman" w:hAnsi="Times New Roman" w:eastAsia="宋体" w:cs="Times New Roman"/>
                      <w:color w:val="auto"/>
                      <w:spacing w:val="-4"/>
                      <w:sz w:val="21"/>
                      <w:szCs w:val="21"/>
                      <w:vertAlign w:val="baseline"/>
                      <w:lang w:val="en-US" w:eastAsia="zh-CN"/>
                    </w:rPr>
                    <w:t>.</w:t>
                  </w:r>
                  <w:r>
                    <w:rPr>
                      <w:rFonts w:hint="eastAsia" w:ascii="Times New Roman" w:hAnsi="Times New Roman" w:eastAsia="宋体" w:cs="Times New Roman"/>
                      <w:color w:val="auto"/>
                      <w:spacing w:val="-4"/>
                      <w:sz w:val="21"/>
                      <w:szCs w:val="21"/>
                      <w:vertAlign w:val="baseline"/>
                      <w:lang w:val="en-US" w:eastAsia="zh-CN"/>
                    </w:rPr>
                    <w:t>5</w:t>
                  </w:r>
                  <w:r>
                    <w:rPr>
                      <w:rFonts w:hint="default" w:ascii="Times New Roman" w:hAnsi="Times New Roman" w:eastAsia="宋体" w:cs="Times New Roman"/>
                      <w:color w:val="auto"/>
                      <w:spacing w:val="-4"/>
                      <w:sz w:val="21"/>
                      <w:szCs w:val="21"/>
                      <w:vertAlign w:val="baseline"/>
                      <w:lang w:val="en-US" w:eastAsia="zh-CN"/>
                    </w:rPr>
                    <w:t>.</w:t>
                  </w:r>
                  <w:r>
                    <w:rPr>
                      <w:rFonts w:hint="eastAsia" w:ascii="Times New Roman" w:hAnsi="Times New Roman" w:eastAsia="宋体" w:cs="Times New Roman"/>
                      <w:color w:val="auto"/>
                      <w:spacing w:val="-4"/>
                      <w:sz w:val="21"/>
                      <w:szCs w:val="21"/>
                      <w:vertAlign w:val="baseline"/>
                      <w:lang w:val="en-US" w:eastAsia="zh-CN"/>
                    </w:rPr>
                    <w:t>06</w:t>
                  </w: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color w:val="auto"/>
                      <w:spacing w:val="-4"/>
                      <w:sz w:val="21"/>
                      <w:szCs w:val="21"/>
                      <w:vertAlign w:val="baseline"/>
                      <w:lang w:val="en-US" w:eastAsia="zh-CN"/>
                    </w:rPr>
                    <w:t>第1次</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vertAlign w:val="baseline"/>
                      <w:lang w:val="en-US"/>
                    </w:rPr>
                  </w:pPr>
                  <w:r>
                    <w:rPr>
                      <w:rFonts w:hint="default" w:ascii="Times New Roman" w:hAnsi="Times New Roman" w:eastAsia="宋体" w:cs="Times New Roman"/>
                      <w:i w:val="0"/>
                      <w:iCs w:val="0"/>
                      <w:color w:val="auto"/>
                      <w:kern w:val="0"/>
                      <w:sz w:val="21"/>
                      <w:szCs w:val="21"/>
                      <w:u w:val="none"/>
                      <w:lang w:val="en-US" w:eastAsia="zh-CN" w:bidi="ar"/>
                    </w:rPr>
                    <w:t>0.089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112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color w:val="auto"/>
                      <w:spacing w:val="-4"/>
                      <w:sz w:val="21"/>
                      <w:szCs w:val="21"/>
                      <w:vertAlign w:val="baseline"/>
                      <w:lang w:val="en-US" w:eastAsia="zh-CN"/>
                    </w:rPr>
                    <w:t>第2次</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vertAlign w:val="baseline"/>
                      <w:lang w:val="en-US"/>
                    </w:rPr>
                  </w:pPr>
                  <w:r>
                    <w:rPr>
                      <w:rFonts w:hint="default" w:ascii="Times New Roman" w:hAnsi="Times New Roman" w:eastAsia="宋体" w:cs="Times New Roman"/>
                      <w:i w:val="0"/>
                      <w:iCs w:val="0"/>
                      <w:color w:val="auto"/>
                      <w:kern w:val="0"/>
                      <w:sz w:val="21"/>
                      <w:szCs w:val="21"/>
                      <w:u w:val="none"/>
                      <w:lang w:val="en-US" w:eastAsia="zh-CN" w:bidi="ar"/>
                    </w:rPr>
                    <w:t>0.072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112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color w:val="auto"/>
                      <w:spacing w:val="-4"/>
                      <w:sz w:val="21"/>
                      <w:szCs w:val="21"/>
                      <w:vertAlign w:val="baseline"/>
                      <w:lang w:val="en-US" w:eastAsia="zh-CN"/>
                    </w:rPr>
                    <w:t>第3次</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0.108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112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lang w:val="en-US" w:eastAsia="zh-CN"/>
                    </w:rPr>
                  </w:pPr>
                  <w:r>
                    <w:rPr>
                      <w:rFonts w:hint="default" w:ascii="Times New Roman" w:hAnsi="Times New Roman" w:eastAsia="宋体" w:cs="Times New Roman"/>
                      <w:color w:val="auto"/>
                      <w:spacing w:val="-4"/>
                      <w:sz w:val="21"/>
                      <w:szCs w:val="21"/>
                      <w:vertAlign w:val="baseline"/>
                      <w:lang w:val="en-US" w:eastAsia="zh-CN"/>
                    </w:rPr>
                    <w:t>第</w:t>
                  </w:r>
                  <w:r>
                    <w:rPr>
                      <w:rFonts w:hint="eastAsia" w:ascii="Times New Roman" w:hAnsi="Times New Roman" w:eastAsia="宋体" w:cs="Times New Roman"/>
                      <w:color w:val="auto"/>
                      <w:spacing w:val="-4"/>
                      <w:sz w:val="21"/>
                      <w:szCs w:val="21"/>
                      <w:vertAlign w:val="baseline"/>
                      <w:lang w:val="en-US" w:eastAsia="zh-CN"/>
                    </w:rPr>
                    <w:t>4</w:t>
                  </w:r>
                  <w:r>
                    <w:rPr>
                      <w:rFonts w:hint="default" w:ascii="Times New Roman" w:hAnsi="Times New Roman" w:eastAsia="宋体" w:cs="Times New Roman"/>
                      <w:color w:val="auto"/>
                      <w:spacing w:val="-4"/>
                      <w:sz w:val="21"/>
                      <w:szCs w:val="21"/>
                      <w:vertAlign w:val="baseline"/>
                      <w:lang w:val="en-US" w:eastAsia="zh-CN"/>
                    </w:rPr>
                    <w:t>次</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lang w:val="en-US" w:eastAsia="zh-CN"/>
                    </w:rPr>
                  </w:pPr>
                  <w:r>
                    <w:rPr>
                      <w:rFonts w:hint="default" w:ascii="Times New Roman" w:hAnsi="Times New Roman" w:eastAsia="宋体" w:cs="Times New Roman"/>
                      <w:color w:val="auto"/>
                      <w:kern w:val="0"/>
                      <w:sz w:val="21"/>
                      <w:szCs w:val="21"/>
                      <w:highlight w:val="none"/>
                      <w:lang w:val="en-US" w:eastAsia="zh-CN"/>
                    </w:rPr>
                    <w:t>下风向2号点</w:t>
                  </w:r>
                </w:p>
              </w:tc>
              <w:tc>
                <w:tcPr>
                  <w:tcW w:w="1120"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r>
                    <w:rPr>
                      <w:rFonts w:hint="default" w:ascii="Times New Roman" w:hAnsi="Times New Roman" w:eastAsia="宋体" w:cs="Times New Roman"/>
                      <w:color w:val="auto"/>
                      <w:spacing w:val="-4"/>
                      <w:sz w:val="21"/>
                      <w:szCs w:val="21"/>
                      <w:vertAlign w:val="baseline"/>
                      <w:lang w:val="en-US" w:eastAsia="zh-CN"/>
                    </w:rPr>
                    <w:t>202</w:t>
                  </w:r>
                  <w:r>
                    <w:rPr>
                      <w:rFonts w:hint="eastAsia" w:ascii="Times New Roman" w:hAnsi="Times New Roman" w:eastAsia="宋体" w:cs="Times New Roman"/>
                      <w:color w:val="auto"/>
                      <w:spacing w:val="-4"/>
                      <w:sz w:val="21"/>
                      <w:szCs w:val="21"/>
                      <w:vertAlign w:val="baseline"/>
                      <w:lang w:val="en-US" w:eastAsia="zh-CN"/>
                    </w:rPr>
                    <w:t>1</w:t>
                  </w:r>
                  <w:r>
                    <w:rPr>
                      <w:rFonts w:hint="default" w:ascii="Times New Roman" w:hAnsi="Times New Roman" w:eastAsia="宋体" w:cs="Times New Roman"/>
                      <w:color w:val="auto"/>
                      <w:spacing w:val="-4"/>
                      <w:sz w:val="21"/>
                      <w:szCs w:val="21"/>
                      <w:vertAlign w:val="baseline"/>
                      <w:lang w:val="en-US" w:eastAsia="zh-CN"/>
                    </w:rPr>
                    <w:t>.</w:t>
                  </w:r>
                  <w:r>
                    <w:rPr>
                      <w:rFonts w:hint="eastAsia" w:ascii="Times New Roman" w:hAnsi="Times New Roman" w:eastAsia="宋体" w:cs="Times New Roman"/>
                      <w:color w:val="auto"/>
                      <w:spacing w:val="-4"/>
                      <w:sz w:val="21"/>
                      <w:szCs w:val="21"/>
                      <w:vertAlign w:val="baseline"/>
                      <w:lang w:val="en-US" w:eastAsia="zh-CN"/>
                    </w:rPr>
                    <w:t>5</w:t>
                  </w:r>
                  <w:r>
                    <w:rPr>
                      <w:rFonts w:hint="default" w:ascii="Times New Roman" w:hAnsi="Times New Roman" w:eastAsia="宋体" w:cs="Times New Roman"/>
                      <w:color w:val="auto"/>
                      <w:spacing w:val="-4"/>
                      <w:sz w:val="21"/>
                      <w:szCs w:val="21"/>
                      <w:vertAlign w:val="baseline"/>
                      <w:lang w:val="en-US" w:eastAsia="zh-CN"/>
                    </w:rPr>
                    <w:t>.</w:t>
                  </w:r>
                  <w:r>
                    <w:rPr>
                      <w:rFonts w:hint="eastAsia" w:ascii="Times New Roman" w:hAnsi="Times New Roman" w:eastAsia="宋体" w:cs="Times New Roman"/>
                      <w:color w:val="auto"/>
                      <w:spacing w:val="-4"/>
                      <w:sz w:val="21"/>
                      <w:szCs w:val="21"/>
                      <w:vertAlign w:val="baseline"/>
                      <w:lang w:val="en-US" w:eastAsia="zh-CN"/>
                    </w:rPr>
                    <w:t>05</w:t>
                  </w: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color w:val="auto"/>
                      <w:spacing w:val="-4"/>
                      <w:sz w:val="21"/>
                      <w:szCs w:val="21"/>
                      <w:vertAlign w:val="baseline"/>
                      <w:lang w:val="en-US" w:eastAsia="zh-CN"/>
                    </w:rPr>
                    <w:t>第1次</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vertAlign w:val="baseline"/>
                      <w:lang w:val="en-US"/>
                    </w:rPr>
                  </w:pPr>
                  <w:r>
                    <w:rPr>
                      <w:rFonts w:hint="default" w:ascii="Times New Roman" w:hAnsi="Times New Roman" w:eastAsia="宋体" w:cs="Times New Roman"/>
                      <w:i w:val="0"/>
                      <w:iCs w:val="0"/>
                      <w:color w:val="auto"/>
                      <w:kern w:val="0"/>
                      <w:sz w:val="21"/>
                      <w:szCs w:val="21"/>
                      <w:u w:val="none"/>
                      <w:lang w:val="en-US" w:eastAsia="zh-CN" w:bidi="ar"/>
                    </w:rPr>
                    <w:t>0.127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112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color w:val="auto"/>
                      <w:spacing w:val="-4"/>
                      <w:sz w:val="21"/>
                      <w:szCs w:val="21"/>
                      <w:vertAlign w:val="baseline"/>
                      <w:lang w:val="en-US" w:eastAsia="zh-CN"/>
                    </w:rPr>
                    <w:t>第2次</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vertAlign w:val="baseline"/>
                      <w:lang w:val="en-US"/>
                    </w:rPr>
                  </w:pPr>
                  <w:r>
                    <w:rPr>
                      <w:rFonts w:hint="default" w:ascii="Times New Roman" w:hAnsi="Times New Roman" w:eastAsia="宋体" w:cs="Times New Roman"/>
                      <w:i w:val="0"/>
                      <w:iCs w:val="0"/>
                      <w:color w:val="auto"/>
                      <w:kern w:val="0"/>
                      <w:sz w:val="21"/>
                      <w:szCs w:val="21"/>
                      <w:u w:val="none"/>
                      <w:lang w:val="en-US" w:eastAsia="zh-CN" w:bidi="ar"/>
                    </w:rPr>
                    <w:t>0.129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112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color w:val="auto"/>
                      <w:spacing w:val="-4"/>
                      <w:sz w:val="21"/>
                      <w:szCs w:val="21"/>
                      <w:vertAlign w:val="baseline"/>
                      <w:lang w:val="en-US" w:eastAsia="zh-CN"/>
                    </w:rPr>
                    <w:t>第3次</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vertAlign w:val="baseline"/>
                      <w:lang w:val="en-US"/>
                    </w:rPr>
                  </w:pPr>
                  <w:r>
                    <w:rPr>
                      <w:rFonts w:hint="default" w:ascii="Times New Roman" w:hAnsi="Times New Roman" w:eastAsia="宋体" w:cs="Times New Roman"/>
                      <w:i w:val="0"/>
                      <w:iCs w:val="0"/>
                      <w:color w:val="auto"/>
                      <w:kern w:val="0"/>
                      <w:sz w:val="21"/>
                      <w:szCs w:val="21"/>
                      <w:u w:val="none"/>
                      <w:lang w:val="en-US" w:eastAsia="zh-CN" w:bidi="ar"/>
                    </w:rPr>
                    <w:t>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112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lang w:val="en-US" w:eastAsia="zh-CN"/>
                    </w:rPr>
                  </w:pPr>
                  <w:r>
                    <w:rPr>
                      <w:rFonts w:hint="default" w:ascii="Times New Roman" w:hAnsi="Times New Roman" w:eastAsia="宋体" w:cs="Times New Roman"/>
                      <w:color w:val="auto"/>
                      <w:spacing w:val="-4"/>
                      <w:sz w:val="21"/>
                      <w:szCs w:val="21"/>
                      <w:vertAlign w:val="baseline"/>
                      <w:lang w:val="en-US" w:eastAsia="zh-CN"/>
                    </w:rPr>
                    <w:t>第</w:t>
                  </w:r>
                  <w:r>
                    <w:rPr>
                      <w:rFonts w:hint="eastAsia" w:ascii="Times New Roman" w:hAnsi="Times New Roman" w:eastAsia="宋体" w:cs="Times New Roman"/>
                      <w:color w:val="auto"/>
                      <w:spacing w:val="-4"/>
                      <w:sz w:val="21"/>
                      <w:szCs w:val="21"/>
                      <w:vertAlign w:val="baseline"/>
                      <w:lang w:val="en-US" w:eastAsia="zh-CN"/>
                    </w:rPr>
                    <w:t>4</w:t>
                  </w:r>
                  <w:r>
                    <w:rPr>
                      <w:rFonts w:hint="default" w:ascii="Times New Roman" w:hAnsi="Times New Roman" w:eastAsia="宋体" w:cs="Times New Roman"/>
                      <w:color w:val="auto"/>
                      <w:spacing w:val="-4"/>
                      <w:sz w:val="21"/>
                      <w:szCs w:val="21"/>
                      <w:vertAlign w:val="baseline"/>
                      <w:lang w:val="en-US" w:eastAsia="zh-CN"/>
                    </w:rPr>
                    <w:t>次</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1120"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color w:val="auto"/>
                      <w:spacing w:val="-4"/>
                      <w:sz w:val="21"/>
                      <w:szCs w:val="21"/>
                      <w:vertAlign w:val="baseline"/>
                      <w:lang w:val="en-US" w:eastAsia="zh-CN"/>
                    </w:rPr>
                    <w:t>202</w:t>
                  </w:r>
                  <w:r>
                    <w:rPr>
                      <w:rFonts w:hint="eastAsia" w:ascii="Times New Roman" w:hAnsi="Times New Roman" w:eastAsia="宋体" w:cs="Times New Roman"/>
                      <w:color w:val="auto"/>
                      <w:spacing w:val="-4"/>
                      <w:sz w:val="21"/>
                      <w:szCs w:val="21"/>
                      <w:vertAlign w:val="baseline"/>
                      <w:lang w:val="en-US" w:eastAsia="zh-CN"/>
                    </w:rPr>
                    <w:t>1</w:t>
                  </w:r>
                  <w:r>
                    <w:rPr>
                      <w:rFonts w:hint="default" w:ascii="Times New Roman" w:hAnsi="Times New Roman" w:eastAsia="宋体" w:cs="Times New Roman"/>
                      <w:color w:val="auto"/>
                      <w:spacing w:val="-4"/>
                      <w:sz w:val="21"/>
                      <w:szCs w:val="21"/>
                      <w:vertAlign w:val="baseline"/>
                      <w:lang w:val="en-US" w:eastAsia="zh-CN"/>
                    </w:rPr>
                    <w:t>.</w:t>
                  </w:r>
                  <w:r>
                    <w:rPr>
                      <w:rFonts w:hint="eastAsia" w:ascii="Times New Roman" w:hAnsi="Times New Roman" w:eastAsia="宋体" w:cs="Times New Roman"/>
                      <w:color w:val="auto"/>
                      <w:spacing w:val="-4"/>
                      <w:sz w:val="21"/>
                      <w:szCs w:val="21"/>
                      <w:vertAlign w:val="baseline"/>
                      <w:lang w:val="en-US" w:eastAsia="zh-CN"/>
                    </w:rPr>
                    <w:t>5</w:t>
                  </w:r>
                  <w:r>
                    <w:rPr>
                      <w:rFonts w:hint="default" w:ascii="Times New Roman" w:hAnsi="Times New Roman" w:eastAsia="宋体" w:cs="Times New Roman"/>
                      <w:color w:val="auto"/>
                      <w:spacing w:val="-4"/>
                      <w:sz w:val="21"/>
                      <w:szCs w:val="21"/>
                      <w:vertAlign w:val="baseline"/>
                      <w:lang w:val="en-US" w:eastAsia="zh-CN"/>
                    </w:rPr>
                    <w:t>.</w:t>
                  </w:r>
                  <w:r>
                    <w:rPr>
                      <w:rFonts w:hint="eastAsia" w:ascii="Times New Roman" w:hAnsi="Times New Roman" w:eastAsia="宋体" w:cs="Times New Roman"/>
                      <w:color w:val="auto"/>
                      <w:spacing w:val="-4"/>
                      <w:sz w:val="21"/>
                      <w:szCs w:val="21"/>
                      <w:vertAlign w:val="baseline"/>
                      <w:lang w:val="en-US" w:eastAsia="zh-CN"/>
                    </w:rPr>
                    <w:t>06</w:t>
                  </w: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color w:val="auto"/>
                      <w:spacing w:val="-4"/>
                      <w:sz w:val="21"/>
                      <w:szCs w:val="21"/>
                      <w:vertAlign w:val="baseline"/>
                      <w:lang w:val="en-US" w:eastAsia="zh-CN"/>
                    </w:rPr>
                    <w:t>第1次</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vertAlign w:val="baseline"/>
                      <w:lang w:val="en-US"/>
                    </w:rPr>
                  </w:pPr>
                  <w:r>
                    <w:rPr>
                      <w:rFonts w:hint="default" w:ascii="Times New Roman" w:hAnsi="Times New Roman" w:eastAsia="宋体" w:cs="Times New Roman"/>
                      <w:i w:val="0"/>
                      <w:iCs w:val="0"/>
                      <w:color w:val="auto"/>
                      <w:kern w:val="0"/>
                      <w:sz w:val="21"/>
                      <w:szCs w:val="21"/>
                      <w:u w:val="none"/>
                      <w:lang w:val="en-US" w:eastAsia="zh-CN" w:bidi="ar"/>
                    </w:rPr>
                    <w:t>0.124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112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color w:val="auto"/>
                      <w:spacing w:val="-4"/>
                      <w:sz w:val="21"/>
                      <w:szCs w:val="21"/>
                      <w:vertAlign w:val="baseline"/>
                      <w:lang w:val="en-US" w:eastAsia="zh-CN"/>
                    </w:rPr>
                    <w:t>第2次</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112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color w:val="auto"/>
                      <w:spacing w:val="-4"/>
                      <w:sz w:val="21"/>
                      <w:szCs w:val="21"/>
                      <w:vertAlign w:val="baseline"/>
                      <w:lang w:val="en-US" w:eastAsia="zh-CN"/>
                    </w:rPr>
                    <w:t>第3次</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vertAlign w:val="baseline"/>
                      <w:lang w:val="en-US"/>
                    </w:rPr>
                  </w:pPr>
                  <w:r>
                    <w:rPr>
                      <w:rFonts w:hint="default" w:ascii="Times New Roman" w:hAnsi="Times New Roman" w:eastAsia="宋体" w:cs="Times New Roman"/>
                      <w:i w:val="0"/>
                      <w:iCs w:val="0"/>
                      <w:color w:val="auto"/>
                      <w:kern w:val="0"/>
                      <w:sz w:val="21"/>
                      <w:szCs w:val="21"/>
                      <w:u w:val="none"/>
                      <w:lang w:val="en-US" w:eastAsia="zh-CN" w:bidi="ar"/>
                    </w:rPr>
                    <w:t>0.126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112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lang w:val="en-US" w:eastAsia="zh-CN"/>
                    </w:rPr>
                  </w:pPr>
                  <w:r>
                    <w:rPr>
                      <w:rFonts w:hint="default" w:ascii="Times New Roman" w:hAnsi="Times New Roman" w:eastAsia="宋体" w:cs="Times New Roman"/>
                      <w:color w:val="auto"/>
                      <w:spacing w:val="-4"/>
                      <w:sz w:val="21"/>
                      <w:szCs w:val="21"/>
                      <w:vertAlign w:val="baseline"/>
                      <w:lang w:val="en-US" w:eastAsia="zh-CN"/>
                    </w:rPr>
                    <w:t>第</w:t>
                  </w:r>
                  <w:r>
                    <w:rPr>
                      <w:rFonts w:hint="eastAsia" w:ascii="Times New Roman" w:hAnsi="Times New Roman" w:eastAsia="宋体" w:cs="Times New Roman"/>
                      <w:color w:val="auto"/>
                      <w:spacing w:val="-4"/>
                      <w:sz w:val="21"/>
                      <w:szCs w:val="21"/>
                      <w:vertAlign w:val="baseline"/>
                      <w:lang w:val="en-US" w:eastAsia="zh-CN"/>
                    </w:rPr>
                    <w:t>4</w:t>
                  </w:r>
                  <w:r>
                    <w:rPr>
                      <w:rFonts w:hint="default" w:ascii="Times New Roman" w:hAnsi="Times New Roman" w:eastAsia="宋体" w:cs="Times New Roman"/>
                      <w:color w:val="auto"/>
                      <w:spacing w:val="-4"/>
                      <w:sz w:val="21"/>
                      <w:szCs w:val="21"/>
                      <w:vertAlign w:val="baseline"/>
                      <w:lang w:val="en-US" w:eastAsia="zh-CN"/>
                    </w:rPr>
                    <w:t>次</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lang w:val="en-US" w:eastAsia="zh-CN"/>
                    </w:rPr>
                  </w:pPr>
                  <w:r>
                    <w:rPr>
                      <w:rFonts w:hint="default" w:ascii="Times New Roman" w:hAnsi="Times New Roman" w:eastAsia="宋体" w:cs="Times New Roman"/>
                      <w:color w:val="auto"/>
                      <w:kern w:val="0"/>
                      <w:sz w:val="21"/>
                      <w:szCs w:val="21"/>
                      <w:highlight w:val="none"/>
                      <w:lang w:val="en-US" w:eastAsia="zh-CN"/>
                    </w:rPr>
                    <w:t>下风向3号点</w:t>
                  </w:r>
                </w:p>
              </w:tc>
              <w:tc>
                <w:tcPr>
                  <w:tcW w:w="1120"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r>
                    <w:rPr>
                      <w:rFonts w:hint="default" w:ascii="Times New Roman" w:hAnsi="Times New Roman" w:eastAsia="宋体" w:cs="Times New Roman"/>
                      <w:color w:val="auto"/>
                      <w:spacing w:val="-4"/>
                      <w:sz w:val="21"/>
                      <w:szCs w:val="21"/>
                      <w:vertAlign w:val="baseline"/>
                      <w:lang w:val="en-US" w:eastAsia="zh-CN"/>
                    </w:rPr>
                    <w:t>202</w:t>
                  </w:r>
                  <w:r>
                    <w:rPr>
                      <w:rFonts w:hint="eastAsia" w:ascii="Times New Roman" w:hAnsi="Times New Roman" w:eastAsia="宋体" w:cs="Times New Roman"/>
                      <w:color w:val="auto"/>
                      <w:spacing w:val="-4"/>
                      <w:sz w:val="21"/>
                      <w:szCs w:val="21"/>
                      <w:vertAlign w:val="baseline"/>
                      <w:lang w:val="en-US" w:eastAsia="zh-CN"/>
                    </w:rPr>
                    <w:t>1</w:t>
                  </w:r>
                  <w:r>
                    <w:rPr>
                      <w:rFonts w:hint="default" w:ascii="Times New Roman" w:hAnsi="Times New Roman" w:eastAsia="宋体" w:cs="Times New Roman"/>
                      <w:color w:val="auto"/>
                      <w:spacing w:val="-4"/>
                      <w:sz w:val="21"/>
                      <w:szCs w:val="21"/>
                      <w:vertAlign w:val="baseline"/>
                      <w:lang w:val="en-US" w:eastAsia="zh-CN"/>
                    </w:rPr>
                    <w:t>.</w:t>
                  </w:r>
                  <w:r>
                    <w:rPr>
                      <w:rFonts w:hint="eastAsia" w:ascii="Times New Roman" w:hAnsi="Times New Roman" w:eastAsia="宋体" w:cs="Times New Roman"/>
                      <w:color w:val="auto"/>
                      <w:spacing w:val="-4"/>
                      <w:sz w:val="21"/>
                      <w:szCs w:val="21"/>
                      <w:vertAlign w:val="baseline"/>
                      <w:lang w:val="en-US" w:eastAsia="zh-CN"/>
                    </w:rPr>
                    <w:t>5</w:t>
                  </w:r>
                  <w:r>
                    <w:rPr>
                      <w:rFonts w:hint="default" w:ascii="Times New Roman" w:hAnsi="Times New Roman" w:eastAsia="宋体" w:cs="Times New Roman"/>
                      <w:color w:val="auto"/>
                      <w:spacing w:val="-4"/>
                      <w:sz w:val="21"/>
                      <w:szCs w:val="21"/>
                      <w:vertAlign w:val="baseline"/>
                      <w:lang w:val="en-US" w:eastAsia="zh-CN"/>
                    </w:rPr>
                    <w:t>.</w:t>
                  </w:r>
                  <w:r>
                    <w:rPr>
                      <w:rFonts w:hint="eastAsia" w:ascii="Times New Roman" w:hAnsi="Times New Roman" w:eastAsia="宋体" w:cs="Times New Roman"/>
                      <w:color w:val="auto"/>
                      <w:spacing w:val="-4"/>
                      <w:sz w:val="21"/>
                      <w:szCs w:val="21"/>
                      <w:vertAlign w:val="baseline"/>
                      <w:lang w:val="en-US" w:eastAsia="zh-CN"/>
                    </w:rPr>
                    <w:t>05</w:t>
                  </w: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color w:val="auto"/>
                      <w:spacing w:val="-4"/>
                      <w:sz w:val="21"/>
                      <w:szCs w:val="21"/>
                      <w:vertAlign w:val="baseline"/>
                      <w:lang w:val="en-US" w:eastAsia="zh-CN"/>
                    </w:rPr>
                    <w:t>第1次</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vertAlign w:val="baseline"/>
                      <w:lang w:val="en-US"/>
                    </w:rPr>
                  </w:pPr>
                  <w:r>
                    <w:rPr>
                      <w:rFonts w:hint="default" w:ascii="Times New Roman" w:hAnsi="Times New Roman" w:eastAsia="宋体" w:cs="Times New Roman"/>
                      <w:i w:val="0"/>
                      <w:iCs w:val="0"/>
                      <w:color w:val="auto"/>
                      <w:kern w:val="0"/>
                      <w:sz w:val="21"/>
                      <w:szCs w:val="21"/>
                      <w:u w:val="none"/>
                      <w:lang w:val="en-US" w:eastAsia="zh-CN" w:bidi="ar"/>
                    </w:rPr>
                    <w:t>0.109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112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color w:val="auto"/>
                      <w:spacing w:val="-4"/>
                      <w:sz w:val="21"/>
                      <w:szCs w:val="21"/>
                      <w:vertAlign w:val="baseline"/>
                      <w:lang w:val="en-US" w:eastAsia="zh-CN"/>
                    </w:rPr>
                    <w:t>第2次</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112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color w:val="auto"/>
                      <w:spacing w:val="-4"/>
                      <w:sz w:val="21"/>
                      <w:szCs w:val="21"/>
                      <w:vertAlign w:val="baseline"/>
                      <w:lang w:val="en-US" w:eastAsia="zh-CN"/>
                    </w:rPr>
                    <w:t>第3次</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112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lang w:val="en-US" w:eastAsia="zh-CN"/>
                    </w:rPr>
                  </w:pPr>
                  <w:r>
                    <w:rPr>
                      <w:rFonts w:hint="default" w:ascii="Times New Roman" w:hAnsi="Times New Roman" w:eastAsia="宋体" w:cs="Times New Roman"/>
                      <w:color w:val="auto"/>
                      <w:spacing w:val="-4"/>
                      <w:sz w:val="21"/>
                      <w:szCs w:val="21"/>
                      <w:vertAlign w:val="baseline"/>
                      <w:lang w:val="en-US" w:eastAsia="zh-CN"/>
                    </w:rPr>
                    <w:t>第</w:t>
                  </w:r>
                  <w:r>
                    <w:rPr>
                      <w:rFonts w:hint="eastAsia" w:ascii="Times New Roman" w:hAnsi="Times New Roman" w:eastAsia="宋体" w:cs="Times New Roman"/>
                      <w:color w:val="auto"/>
                      <w:spacing w:val="-4"/>
                      <w:sz w:val="21"/>
                      <w:szCs w:val="21"/>
                      <w:vertAlign w:val="baseline"/>
                      <w:lang w:val="en-US" w:eastAsia="zh-CN"/>
                    </w:rPr>
                    <w:t>4</w:t>
                  </w:r>
                  <w:r>
                    <w:rPr>
                      <w:rFonts w:hint="default" w:ascii="Times New Roman" w:hAnsi="Times New Roman" w:eastAsia="宋体" w:cs="Times New Roman"/>
                      <w:color w:val="auto"/>
                      <w:spacing w:val="-4"/>
                      <w:sz w:val="21"/>
                      <w:szCs w:val="21"/>
                      <w:vertAlign w:val="baseline"/>
                      <w:lang w:val="en-US" w:eastAsia="zh-CN"/>
                    </w:rPr>
                    <w:t>次</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1120"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color w:val="auto"/>
                      <w:spacing w:val="-4"/>
                      <w:sz w:val="21"/>
                      <w:szCs w:val="21"/>
                      <w:vertAlign w:val="baseline"/>
                      <w:lang w:val="en-US" w:eastAsia="zh-CN"/>
                    </w:rPr>
                    <w:t>202</w:t>
                  </w:r>
                  <w:r>
                    <w:rPr>
                      <w:rFonts w:hint="eastAsia" w:ascii="Times New Roman" w:hAnsi="Times New Roman" w:eastAsia="宋体" w:cs="Times New Roman"/>
                      <w:color w:val="auto"/>
                      <w:spacing w:val="-4"/>
                      <w:sz w:val="21"/>
                      <w:szCs w:val="21"/>
                      <w:vertAlign w:val="baseline"/>
                      <w:lang w:val="en-US" w:eastAsia="zh-CN"/>
                    </w:rPr>
                    <w:t>1</w:t>
                  </w:r>
                  <w:r>
                    <w:rPr>
                      <w:rFonts w:hint="default" w:ascii="Times New Roman" w:hAnsi="Times New Roman" w:eastAsia="宋体" w:cs="Times New Roman"/>
                      <w:color w:val="auto"/>
                      <w:spacing w:val="-4"/>
                      <w:sz w:val="21"/>
                      <w:szCs w:val="21"/>
                      <w:vertAlign w:val="baseline"/>
                      <w:lang w:val="en-US" w:eastAsia="zh-CN"/>
                    </w:rPr>
                    <w:t>.</w:t>
                  </w:r>
                  <w:r>
                    <w:rPr>
                      <w:rFonts w:hint="eastAsia" w:ascii="Times New Roman" w:hAnsi="Times New Roman" w:eastAsia="宋体" w:cs="Times New Roman"/>
                      <w:color w:val="auto"/>
                      <w:spacing w:val="-4"/>
                      <w:sz w:val="21"/>
                      <w:szCs w:val="21"/>
                      <w:vertAlign w:val="baseline"/>
                      <w:lang w:val="en-US" w:eastAsia="zh-CN"/>
                    </w:rPr>
                    <w:t>5</w:t>
                  </w:r>
                  <w:r>
                    <w:rPr>
                      <w:rFonts w:hint="default" w:ascii="Times New Roman" w:hAnsi="Times New Roman" w:eastAsia="宋体" w:cs="Times New Roman"/>
                      <w:color w:val="auto"/>
                      <w:spacing w:val="-4"/>
                      <w:sz w:val="21"/>
                      <w:szCs w:val="21"/>
                      <w:vertAlign w:val="baseline"/>
                      <w:lang w:val="en-US" w:eastAsia="zh-CN"/>
                    </w:rPr>
                    <w:t>.</w:t>
                  </w:r>
                  <w:r>
                    <w:rPr>
                      <w:rFonts w:hint="eastAsia" w:ascii="Times New Roman" w:hAnsi="Times New Roman" w:eastAsia="宋体" w:cs="Times New Roman"/>
                      <w:color w:val="auto"/>
                      <w:spacing w:val="-4"/>
                      <w:sz w:val="21"/>
                      <w:szCs w:val="21"/>
                      <w:vertAlign w:val="baseline"/>
                      <w:lang w:val="en-US" w:eastAsia="zh-CN"/>
                    </w:rPr>
                    <w:t>06</w:t>
                  </w: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color w:val="auto"/>
                      <w:spacing w:val="-4"/>
                      <w:sz w:val="21"/>
                      <w:szCs w:val="21"/>
                      <w:vertAlign w:val="baseline"/>
                      <w:lang w:val="en-US" w:eastAsia="zh-CN"/>
                    </w:rPr>
                    <w:t>第1次</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vertAlign w:val="baseline"/>
                      <w:lang w:val="en-US"/>
                    </w:rPr>
                  </w:pPr>
                  <w:r>
                    <w:rPr>
                      <w:rFonts w:hint="default" w:ascii="Times New Roman" w:hAnsi="Times New Roman" w:eastAsia="宋体" w:cs="Times New Roman"/>
                      <w:i w:val="0"/>
                      <w:iCs w:val="0"/>
                      <w:color w:val="auto"/>
                      <w:kern w:val="0"/>
                      <w:sz w:val="21"/>
                      <w:szCs w:val="21"/>
                      <w:u w:val="none"/>
                      <w:lang w:val="en-US" w:eastAsia="zh-CN" w:bidi="ar"/>
                    </w:rPr>
                    <w:t>0.106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76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112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color w:val="auto"/>
                      <w:spacing w:val="-4"/>
                      <w:sz w:val="21"/>
                      <w:szCs w:val="21"/>
                      <w:vertAlign w:val="baseline"/>
                      <w:lang w:val="en-US" w:eastAsia="zh-CN"/>
                    </w:rPr>
                    <w:t>第2次</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112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color w:val="auto"/>
                      <w:spacing w:val="-4"/>
                      <w:sz w:val="21"/>
                      <w:szCs w:val="21"/>
                      <w:vertAlign w:val="baseline"/>
                      <w:lang w:val="en-US" w:eastAsia="zh-CN"/>
                    </w:rPr>
                    <w:t>第3次</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4"/>
                      <w:sz w:val="21"/>
                      <w:szCs w:val="21"/>
                      <w:vertAlign w:val="baseline"/>
                      <w:lang w:val="en-US"/>
                    </w:rPr>
                  </w:pPr>
                  <w:r>
                    <w:rPr>
                      <w:rFonts w:hint="default" w:ascii="Times New Roman" w:hAnsi="Times New Roman" w:eastAsia="宋体" w:cs="Times New Roman"/>
                      <w:i w:val="0"/>
                      <w:iCs w:val="0"/>
                      <w:color w:val="auto"/>
                      <w:kern w:val="0"/>
                      <w:sz w:val="21"/>
                      <w:szCs w:val="21"/>
                      <w:u w:val="none"/>
                      <w:lang w:val="en-US" w:eastAsia="zh-CN" w:bidi="ar"/>
                    </w:rPr>
                    <w:t>0.108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112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rPr>
                  </w:pP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lang w:val="en-US" w:eastAsia="zh-CN"/>
                    </w:rPr>
                  </w:pPr>
                  <w:r>
                    <w:rPr>
                      <w:rFonts w:hint="default" w:ascii="Times New Roman" w:hAnsi="Times New Roman" w:eastAsia="宋体" w:cs="Times New Roman"/>
                      <w:color w:val="auto"/>
                      <w:spacing w:val="-4"/>
                      <w:sz w:val="21"/>
                      <w:szCs w:val="21"/>
                      <w:vertAlign w:val="baseline"/>
                      <w:lang w:val="en-US" w:eastAsia="zh-CN"/>
                    </w:rPr>
                    <w:t>第</w:t>
                  </w:r>
                  <w:r>
                    <w:rPr>
                      <w:rFonts w:hint="eastAsia" w:ascii="Times New Roman" w:hAnsi="Times New Roman" w:eastAsia="宋体" w:cs="Times New Roman"/>
                      <w:color w:val="auto"/>
                      <w:spacing w:val="-4"/>
                      <w:sz w:val="21"/>
                      <w:szCs w:val="21"/>
                      <w:vertAlign w:val="baseline"/>
                      <w:lang w:val="en-US" w:eastAsia="zh-CN"/>
                    </w:rPr>
                    <w:t>4</w:t>
                  </w:r>
                  <w:r>
                    <w:rPr>
                      <w:rFonts w:hint="default" w:ascii="Times New Roman" w:hAnsi="Times New Roman" w:eastAsia="宋体" w:cs="Times New Roman"/>
                      <w:color w:val="auto"/>
                      <w:spacing w:val="-4"/>
                      <w:sz w:val="21"/>
                      <w:szCs w:val="21"/>
                      <w:vertAlign w:val="baseline"/>
                      <w:lang w:val="en-US" w:eastAsia="zh-CN"/>
                    </w:rPr>
                    <w:t>次</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16"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lang w:val="en-US" w:eastAsia="zh-CN"/>
                    </w:rPr>
                  </w:pPr>
                  <w:r>
                    <w:rPr>
                      <w:rFonts w:hint="default" w:ascii="Times New Roman" w:hAnsi="Times New Roman" w:eastAsia="宋体" w:cs="Times New Roman"/>
                      <w:color w:val="auto"/>
                      <w:spacing w:val="-4"/>
                      <w:sz w:val="21"/>
                      <w:szCs w:val="21"/>
                      <w:vertAlign w:val="baseline"/>
                      <w:lang w:val="en-US" w:eastAsia="zh-CN"/>
                    </w:rPr>
                    <w:t>最大值</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lang w:val="en-US" w:eastAsia="zh-CN"/>
                    </w:rPr>
                  </w:pPr>
                  <w:r>
                    <w:rPr>
                      <w:rFonts w:hint="eastAsia" w:ascii="Times New Roman" w:hAnsi="Times New Roman" w:eastAsia="宋体" w:cs="Times New Roman"/>
                      <w:color w:val="auto"/>
                      <w:spacing w:val="-4"/>
                      <w:sz w:val="21"/>
                      <w:szCs w:val="21"/>
                      <w:vertAlign w:val="baseline"/>
                      <w:lang w:val="en-US" w:eastAsia="zh-CN"/>
                    </w:rPr>
                    <w:t>0.128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16"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lang w:val="en-US" w:eastAsia="zh-CN"/>
                    </w:rPr>
                  </w:pPr>
                  <w:r>
                    <w:rPr>
                      <w:rFonts w:hint="default" w:ascii="Times New Roman" w:hAnsi="Times New Roman" w:eastAsia="宋体" w:cs="Times New Roman"/>
                      <w:color w:val="auto"/>
                      <w:spacing w:val="-4"/>
                      <w:sz w:val="21"/>
                      <w:szCs w:val="21"/>
                      <w:vertAlign w:val="baseline"/>
                      <w:lang w:val="en-US" w:eastAsia="zh-CN"/>
                    </w:rPr>
                    <w:t>标准限值</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lang w:val="en-US" w:eastAsia="zh-CN"/>
                    </w:rPr>
                  </w:pPr>
                  <w:r>
                    <w:rPr>
                      <w:rFonts w:hint="default" w:ascii="Times New Roman" w:hAnsi="Times New Roman" w:eastAsia="宋体" w:cs="Times New Roman"/>
                      <w:color w:val="auto"/>
                      <w:spacing w:val="-4"/>
                      <w:sz w:val="21"/>
                      <w:szCs w:val="21"/>
                      <w:vertAlign w:val="baseline"/>
                      <w:lang w:val="en-US" w:eastAsia="zh-CN"/>
                    </w:rPr>
                    <w:t>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16"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lang w:val="en-US" w:eastAsia="zh-CN"/>
                    </w:rPr>
                  </w:pPr>
                  <w:r>
                    <w:rPr>
                      <w:rFonts w:hint="default" w:ascii="Times New Roman" w:hAnsi="Times New Roman" w:eastAsia="宋体" w:cs="Times New Roman"/>
                      <w:color w:val="auto"/>
                      <w:spacing w:val="-4"/>
                      <w:sz w:val="21"/>
                      <w:szCs w:val="21"/>
                      <w:vertAlign w:val="baseline"/>
                      <w:lang w:val="en-US" w:eastAsia="zh-CN"/>
                    </w:rPr>
                    <w:t>是否达标</w:t>
                  </w:r>
                </w:p>
              </w:tc>
              <w:tc>
                <w:tcPr>
                  <w:tcW w:w="7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kern w:val="2"/>
                      <w:sz w:val="21"/>
                      <w:szCs w:val="21"/>
                      <w:vertAlign w:val="baseline"/>
                      <w:lang w:val="en-US" w:eastAsia="zh-CN" w:bidi="ar-SA"/>
                    </w:rPr>
                  </w:pP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c>
                <w:tcPr>
                  <w:tcW w:w="149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4"/>
                      <w:sz w:val="21"/>
                      <w:szCs w:val="21"/>
                      <w:vertAlign w:val="baseline"/>
                      <w:lang w:val="en-US" w:eastAsia="zh-CN"/>
                    </w:rPr>
                  </w:pPr>
                  <w:r>
                    <w:rPr>
                      <w:rFonts w:hint="default" w:ascii="Times New Roman" w:hAnsi="Times New Roman" w:eastAsia="宋体" w:cs="Times New Roman"/>
                      <w:color w:val="auto"/>
                      <w:spacing w:val="-4"/>
                      <w:sz w:val="21"/>
                      <w:szCs w:val="21"/>
                      <w:vertAlign w:val="baseline"/>
                      <w:lang w:val="en-US" w:eastAsia="zh-CN"/>
                    </w:rPr>
                    <w:t>达标</w:t>
                  </w:r>
                </w:p>
              </w:tc>
            </w:tr>
          </w:tbl>
          <w:p>
            <w:pPr>
              <w:pStyle w:val="10"/>
              <w:spacing w:line="360" w:lineRule="auto"/>
              <w:ind w:firstLine="480" w:firstLineChars="20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验收监测结果表明：厂界无组织排放监控点所监测的颗粒物最大浓度监测值为0.</w:t>
            </w:r>
            <w:r>
              <w:rPr>
                <w:rFonts w:hint="eastAsia" w:ascii="Times New Roman" w:hAnsi="Times New Roman" w:eastAsia="宋体" w:cs="Times New Roman"/>
                <w:color w:val="auto"/>
                <w:lang w:val="en-US" w:eastAsia="zh-CN"/>
              </w:rPr>
              <w:t>128</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，均</w:t>
            </w:r>
            <w:r>
              <w:rPr>
                <w:rFonts w:hint="default" w:ascii="Times New Roman" w:hAnsi="Times New Roman" w:eastAsia="宋体" w:cs="Times New Roman"/>
                <w:color w:val="auto"/>
                <w:lang w:eastAsia="zh-CN"/>
              </w:rPr>
              <w:t>符合《大气污染物综合排放标准》（GB16297-1996）中的表2无组织限值要求。</w:t>
            </w:r>
          </w:p>
          <w:p>
            <w:pPr>
              <w:pStyle w:val="10"/>
              <w:keepNext w:val="0"/>
              <w:keepLines w:val="0"/>
              <w:pageBreakBefore w:val="0"/>
              <w:widowControl w:val="0"/>
              <w:numPr>
                <w:ilvl w:val="0"/>
                <w:numId w:val="3"/>
              </w:numPr>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噪声</w:t>
            </w:r>
            <w:r>
              <w:rPr>
                <w:rFonts w:hint="default" w:ascii="Times New Roman" w:hAnsi="Times New Roman" w:eastAsia="宋体" w:cs="Times New Roman"/>
                <w:color w:val="auto"/>
              </w:rPr>
              <w:t>监测结果及评价</w:t>
            </w:r>
          </w:p>
          <w:p>
            <w:pPr>
              <w:keepNext w:val="0"/>
              <w:keepLines w:val="0"/>
              <w:pageBreakBefore w:val="0"/>
              <w:widowControl w:val="0"/>
              <w:kinsoku/>
              <w:wordWrap/>
              <w:overflowPunct/>
              <w:topLinePunct w:val="0"/>
              <w:autoSpaceDE w:val="0"/>
              <w:autoSpaceDN w:val="0"/>
              <w:bidi w:val="0"/>
              <w:adjustRightInd/>
              <w:snapToGrid/>
              <w:spacing w:line="360" w:lineRule="auto"/>
              <w:ind w:firstLine="48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本项目噪声监测结果详见表</w:t>
            </w:r>
            <w:r>
              <w:rPr>
                <w:rFonts w:hint="default"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lang w:eastAsia="zh-CN"/>
              </w:rPr>
              <w:t>。</w:t>
            </w:r>
          </w:p>
          <w:p>
            <w:pPr>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表20  厂界噪声监测结果一览表</w:t>
            </w:r>
          </w:p>
          <w:tbl>
            <w:tblPr>
              <w:tblStyle w:val="18"/>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2017"/>
              <w:gridCol w:w="1645"/>
              <w:gridCol w:w="1754"/>
              <w:gridCol w:w="17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8" w:type="pct"/>
                  <w:vMerge w:val="restart"/>
                  <w:tcBorders>
                    <w:tl2br w:val="nil"/>
                    <w:tr2bl w:val="nil"/>
                  </w:tcBorders>
                  <w:shd w:val="clear" w:color="auto" w:fill="D7D7D7" w:themeFill="background1" w:themeFillShade="D8"/>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点位序号</w:t>
                  </w:r>
                </w:p>
              </w:tc>
              <w:tc>
                <w:tcPr>
                  <w:tcW w:w="1166" w:type="pct"/>
                  <w:vMerge w:val="restart"/>
                  <w:tcBorders>
                    <w:tl2br w:val="nil"/>
                    <w:tr2bl w:val="nil"/>
                  </w:tcBorders>
                  <w:shd w:val="clear" w:color="auto" w:fill="D7D7D7" w:themeFill="background1" w:themeFillShade="D8"/>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采样位置</w:t>
                  </w:r>
                </w:p>
              </w:tc>
              <w:tc>
                <w:tcPr>
                  <w:tcW w:w="951" w:type="pct"/>
                  <w:vMerge w:val="restart"/>
                  <w:tcBorders>
                    <w:tl2br w:val="nil"/>
                    <w:tr2bl w:val="nil"/>
                  </w:tcBorders>
                  <w:shd w:val="clear" w:color="auto" w:fill="D7D7D7" w:themeFill="background1" w:themeFillShade="D8"/>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采样时间</w:t>
                  </w:r>
                </w:p>
              </w:tc>
              <w:tc>
                <w:tcPr>
                  <w:tcW w:w="2034" w:type="pct"/>
                  <w:gridSpan w:val="2"/>
                  <w:tcBorders>
                    <w:tl2br w:val="nil"/>
                    <w:tr2bl w:val="nil"/>
                  </w:tcBorders>
                  <w:shd w:val="clear" w:color="auto" w:fill="D7D7D7" w:themeFill="background1" w:themeFillShade="D8"/>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检测结果dB(A)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48" w:type="pct"/>
                  <w:vMerge w:val="continue"/>
                  <w:tcBorders>
                    <w:tl2br w:val="nil"/>
                    <w:tr2bl w:val="nil"/>
                  </w:tcBorders>
                  <w:shd w:val="clear" w:color="auto" w:fill="D7D7D7" w:themeFill="background1" w:themeFillShade="D8"/>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lang w:eastAsia="zh-CN"/>
                    </w:rPr>
                  </w:pPr>
                </w:p>
              </w:tc>
              <w:tc>
                <w:tcPr>
                  <w:tcW w:w="1166" w:type="pct"/>
                  <w:vMerge w:val="continue"/>
                  <w:tcBorders>
                    <w:tl2br w:val="nil"/>
                    <w:tr2bl w:val="nil"/>
                  </w:tcBorders>
                  <w:shd w:val="clear" w:color="auto" w:fill="D7D7D7" w:themeFill="background1" w:themeFillShade="D8"/>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lang w:eastAsia="zh-CN"/>
                    </w:rPr>
                  </w:pPr>
                </w:p>
              </w:tc>
              <w:tc>
                <w:tcPr>
                  <w:tcW w:w="951" w:type="pct"/>
                  <w:vMerge w:val="continue"/>
                  <w:tcBorders>
                    <w:tl2br w:val="nil"/>
                    <w:tr2bl w:val="nil"/>
                  </w:tcBorders>
                  <w:shd w:val="clear" w:color="auto" w:fill="D7D7D7" w:themeFill="background1" w:themeFillShade="D8"/>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lang w:eastAsia="zh-CN"/>
                    </w:rPr>
                  </w:pPr>
                </w:p>
              </w:tc>
              <w:tc>
                <w:tcPr>
                  <w:tcW w:w="1014" w:type="pct"/>
                  <w:tcBorders>
                    <w:tl2br w:val="nil"/>
                    <w:tr2bl w:val="nil"/>
                  </w:tcBorders>
                  <w:shd w:val="clear" w:color="auto" w:fill="D7D7D7" w:themeFill="background1" w:themeFillShade="D8"/>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 xml:space="preserve"> 昼间</w:t>
                  </w:r>
                </w:p>
              </w:tc>
              <w:tc>
                <w:tcPr>
                  <w:tcW w:w="1019" w:type="pct"/>
                  <w:tcBorders>
                    <w:tl2br w:val="nil"/>
                    <w:tr2bl w:val="nil"/>
                  </w:tcBorders>
                  <w:shd w:val="clear" w:color="auto" w:fill="D7D7D7" w:themeFill="background1" w:themeFillShade="D8"/>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48" w:type="pct"/>
                  <w:vMerge w:val="restart"/>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sz w:val="21"/>
                      <w:szCs w:val="21"/>
                      <w:lang w:eastAsia="zh-CN"/>
                    </w:rPr>
                    <w:t>N1</w:t>
                  </w:r>
                </w:p>
              </w:tc>
              <w:tc>
                <w:tcPr>
                  <w:tcW w:w="1166" w:type="pct"/>
                  <w:vMerge w:val="restar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sz w:val="21"/>
                      <w:szCs w:val="21"/>
                      <w:vertAlign w:val="baseline"/>
                      <w:lang w:val="en-US" w:eastAsia="zh-CN"/>
                    </w:rPr>
                    <w:t>厂界西</w:t>
                  </w:r>
                </w:p>
              </w:tc>
              <w:tc>
                <w:tcPr>
                  <w:tcW w:w="951" w:type="pct"/>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kern w:val="2"/>
                      <w:sz w:val="21"/>
                      <w:szCs w:val="21"/>
                      <w:lang w:val="en-US" w:eastAsia="zh-CN"/>
                    </w:rPr>
                    <w:t>5</w:t>
                  </w:r>
                  <w:r>
                    <w:rPr>
                      <w:rFonts w:hint="default" w:ascii="Times New Roman" w:hAnsi="Times New Roman" w:eastAsia="宋体" w:cs="Times New Roman"/>
                      <w:color w:val="auto"/>
                      <w:kern w:val="2"/>
                      <w:sz w:val="21"/>
                      <w:szCs w:val="21"/>
                      <w:lang w:eastAsia="zh-CN"/>
                    </w:rPr>
                    <w:t>月</w:t>
                  </w:r>
                  <w:r>
                    <w:rPr>
                      <w:rFonts w:hint="eastAsia" w:ascii="Times New Roman" w:hAnsi="Times New Roman" w:eastAsia="宋体" w:cs="Times New Roman"/>
                      <w:color w:val="auto"/>
                      <w:kern w:val="2"/>
                      <w:sz w:val="21"/>
                      <w:szCs w:val="21"/>
                      <w:lang w:val="en-US" w:eastAsia="zh-CN"/>
                    </w:rPr>
                    <w:t>05</w:t>
                  </w:r>
                  <w:r>
                    <w:rPr>
                      <w:rFonts w:hint="default" w:ascii="Times New Roman" w:hAnsi="Times New Roman" w:eastAsia="宋体" w:cs="Times New Roman"/>
                      <w:color w:val="auto"/>
                      <w:kern w:val="2"/>
                      <w:sz w:val="21"/>
                      <w:szCs w:val="21"/>
                      <w:lang w:eastAsia="zh-CN"/>
                    </w:rPr>
                    <w:t>日</w:t>
                  </w:r>
                </w:p>
              </w:tc>
              <w:tc>
                <w:tcPr>
                  <w:tcW w:w="1757"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rPr>
                    <w:t>56</w:t>
                  </w:r>
                </w:p>
              </w:tc>
              <w:tc>
                <w:tcPr>
                  <w:tcW w:w="1764"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48" w:type="pct"/>
                  <w:vMerge w:val="continue"/>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166" w:type="pct"/>
                  <w:vMerge w:val="continue"/>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951" w:type="pct"/>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kern w:val="2"/>
                      <w:sz w:val="21"/>
                      <w:szCs w:val="21"/>
                      <w:lang w:val="en-US" w:eastAsia="zh-CN"/>
                    </w:rPr>
                    <w:t>5</w:t>
                  </w:r>
                  <w:r>
                    <w:rPr>
                      <w:rFonts w:hint="default" w:ascii="Times New Roman" w:hAnsi="Times New Roman" w:eastAsia="宋体" w:cs="Times New Roman"/>
                      <w:color w:val="auto"/>
                      <w:kern w:val="2"/>
                      <w:sz w:val="21"/>
                      <w:szCs w:val="21"/>
                      <w:lang w:eastAsia="zh-CN"/>
                    </w:rPr>
                    <w:t>月</w:t>
                  </w:r>
                  <w:r>
                    <w:rPr>
                      <w:rFonts w:hint="eastAsia" w:ascii="Times New Roman" w:hAnsi="Times New Roman" w:eastAsia="宋体" w:cs="Times New Roman"/>
                      <w:color w:val="auto"/>
                      <w:kern w:val="2"/>
                      <w:sz w:val="21"/>
                      <w:szCs w:val="21"/>
                      <w:lang w:val="en-US" w:eastAsia="zh-CN"/>
                    </w:rPr>
                    <w:t>06</w:t>
                  </w:r>
                  <w:r>
                    <w:rPr>
                      <w:rFonts w:hint="default" w:ascii="Times New Roman" w:hAnsi="Times New Roman" w:eastAsia="宋体" w:cs="Times New Roman"/>
                      <w:color w:val="auto"/>
                      <w:kern w:val="2"/>
                      <w:sz w:val="21"/>
                      <w:szCs w:val="21"/>
                      <w:lang w:eastAsia="zh-CN"/>
                    </w:rPr>
                    <w:t>日</w:t>
                  </w:r>
                </w:p>
              </w:tc>
              <w:tc>
                <w:tcPr>
                  <w:tcW w:w="1014"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rPr>
                    <w:t>55</w:t>
                  </w:r>
                </w:p>
              </w:tc>
              <w:tc>
                <w:tcPr>
                  <w:tcW w:w="1764"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48" w:type="pct"/>
                  <w:vMerge w:val="restart"/>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sz w:val="21"/>
                      <w:szCs w:val="21"/>
                      <w:lang w:eastAsia="zh-CN"/>
                    </w:rPr>
                    <w:t>N2</w:t>
                  </w:r>
                </w:p>
              </w:tc>
              <w:tc>
                <w:tcPr>
                  <w:tcW w:w="1166" w:type="pct"/>
                  <w:vMerge w:val="restar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sz w:val="21"/>
                      <w:szCs w:val="21"/>
                      <w:vertAlign w:val="baseline"/>
                      <w:lang w:val="en-US" w:eastAsia="zh-CN"/>
                    </w:rPr>
                    <w:t>厂界北</w:t>
                  </w:r>
                </w:p>
              </w:tc>
              <w:tc>
                <w:tcPr>
                  <w:tcW w:w="1648" w:type="dxa"/>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kern w:val="2"/>
                      <w:sz w:val="21"/>
                      <w:szCs w:val="21"/>
                      <w:lang w:val="en-US" w:eastAsia="zh-CN"/>
                    </w:rPr>
                    <w:t>5</w:t>
                  </w:r>
                  <w:r>
                    <w:rPr>
                      <w:rFonts w:hint="default" w:ascii="Times New Roman" w:hAnsi="Times New Roman" w:eastAsia="宋体" w:cs="Times New Roman"/>
                      <w:color w:val="auto"/>
                      <w:kern w:val="2"/>
                      <w:sz w:val="21"/>
                      <w:szCs w:val="21"/>
                      <w:lang w:eastAsia="zh-CN"/>
                    </w:rPr>
                    <w:t>月</w:t>
                  </w:r>
                  <w:r>
                    <w:rPr>
                      <w:rFonts w:hint="eastAsia" w:ascii="Times New Roman" w:hAnsi="Times New Roman" w:eastAsia="宋体" w:cs="Times New Roman"/>
                      <w:color w:val="auto"/>
                      <w:kern w:val="2"/>
                      <w:sz w:val="21"/>
                      <w:szCs w:val="21"/>
                      <w:lang w:val="en-US" w:eastAsia="zh-CN"/>
                    </w:rPr>
                    <w:t>05</w:t>
                  </w:r>
                  <w:r>
                    <w:rPr>
                      <w:rFonts w:hint="default" w:ascii="Times New Roman" w:hAnsi="Times New Roman" w:eastAsia="宋体" w:cs="Times New Roman"/>
                      <w:color w:val="auto"/>
                      <w:kern w:val="2"/>
                      <w:sz w:val="21"/>
                      <w:szCs w:val="21"/>
                      <w:lang w:eastAsia="zh-CN"/>
                    </w:rPr>
                    <w:t>日</w:t>
                  </w:r>
                </w:p>
              </w:tc>
              <w:tc>
                <w:tcPr>
                  <w:tcW w:w="1014"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rPr>
                    <w:t>55</w:t>
                  </w:r>
                </w:p>
              </w:tc>
              <w:tc>
                <w:tcPr>
                  <w:tcW w:w="1764"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48" w:type="pct"/>
                  <w:vMerge w:val="continue"/>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166" w:type="pct"/>
                  <w:vMerge w:val="continue"/>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648" w:type="dxa"/>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kern w:val="2"/>
                      <w:sz w:val="21"/>
                      <w:szCs w:val="21"/>
                      <w:lang w:val="en-US" w:eastAsia="zh-CN"/>
                    </w:rPr>
                    <w:t>5</w:t>
                  </w:r>
                  <w:r>
                    <w:rPr>
                      <w:rFonts w:hint="default" w:ascii="Times New Roman" w:hAnsi="Times New Roman" w:eastAsia="宋体" w:cs="Times New Roman"/>
                      <w:color w:val="auto"/>
                      <w:kern w:val="2"/>
                      <w:sz w:val="21"/>
                      <w:szCs w:val="21"/>
                      <w:lang w:eastAsia="zh-CN"/>
                    </w:rPr>
                    <w:t>月</w:t>
                  </w:r>
                  <w:r>
                    <w:rPr>
                      <w:rFonts w:hint="eastAsia" w:ascii="Times New Roman" w:hAnsi="Times New Roman" w:eastAsia="宋体" w:cs="Times New Roman"/>
                      <w:color w:val="auto"/>
                      <w:kern w:val="2"/>
                      <w:sz w:val="21"/>
                      <w:szCs w:val="21"/>
                      <w:lang w:val="en-US" w:eastAsia="zh-CN"/>
                    </w:rPr>
                    <w:t>06</w:t>
                  </w:r>
                  <w:r>
                    <w:rPr>
                      <w:rFonts w:hint="default" w:ascii="Times New Roman" w:hAnsi="Times New Roman" w:eastAsia="宋体" w:cs="Times New Roman"/>
                      <w:color w:val="auto"/>
                      <w:kern w:val="2"/>
                      <w:sz w:val="21"/>
                      <w:szCs w:val="21"/>
                      <w:lang w:eastAsia="zh-CN"/>
                    </w:rPr>
                    <w:t>日</w:t>
                  </w:r>
                </w:p>
              </w:tc>
              <w:tc>
                <w:tcPr>
                  <w:tcW w:w="1757"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kern w:val="0"/>
                      <w:sz w:val="21"/>
                      <w:szCs w:val="21"/>
                      <w:lang w:val="en-US" w:eastAsia="zh-CN"/>
                    </w:rPr>
                    <w:t>55</w:t>
                  </w:r>
                </w:p>
              </w:tc>
              <w:tc>
                <w:tcPr>
                  <w:tcW w:w="1764"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48" w:type="pct"/>
                  <w:vMerge w:val="restart"/>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sz w:val="21"/>
                      <w:szCs w:val="21"/>
                      <w:lang w:eastAsia="zh-CN"/>
                    </w:rPr>
                    <w:t>N3</w:t>
                  </w:r>
                </w:p>
              </w:tc>
              <w:tc>
                <w:tcPr>
                  <w:tcW w:w="1166" w:type="pct"/>
                  <w:vMerge w:val="restar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sz w:val="21"/>
                      <w:szCs w:val="21"/>
                      <w:vertAlign w:val="baseline"/>
                      <w:lang w:val="en-US" w:eastAsia="zh-CN"/>
                    </w:rPr>
                    <w:t>厂界东</w:t>
                  </w:r>
                </w:p>
              </w:tc>
              <w:tc>
                <w:tcPr>
                  <w:tcW w:w="1648" w:type="dxa"/>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kern w:val="2"/>
                      <w:sz w:val="21"/>
                      <w:szCs w:val="21"/>
                      <w:lang w:val="en-US" w:eastAsia="zh-CN"/>
                    </w:rPr>
                    <w:t>5</w:t>
                  </w:r>
                  <w:r>
                    <w:rPr>
                      <w:rFonts w:hint="default" w:ascii="Times New Roman" w:hAnsi="Times New Roman" w:eastAsia="宋体" w:cs="Times New Roman"/>
                      <w:color w:val="auto"/>
                      <w:kern w:val="2"/>
                      <w:sz w:val="21"/>
                      <w:szCs w:val="21"/>
                      <w:lang w:eastAsia="zh-CN"/>
                    </w:rPr>
                    <w:t>月</w:t>
                  </w:r>
                  <w:r>
                    <w:rPr>
                      <w:rFonts w:hint="eastAsia" w:ascii="Times New Roman" w:hAnsi="Times New Roman" w:eastAsia="宋体" w:cs="Times New Roman"/>
                      <w:color w:val="auto"/>
                      <w:kern w:val="2"/>
                      <w:sz w:val="21"/>
                      <w:szCs w:val="21"/>
                      <w:lang w:val="en-US" w:eastAsia="zh-CN"/>
                    </w:rPr>
                    <w:t>05</w:t>
                  </w:r>
                  <w:r>
                    <w:rPr>
                      <w:rFonts w:hint="default" w:ascii="Times New Roman" w:hAnsi="Times New Roman" w:eastAsia="宋体" w:cs="Times New Roman"/>
                      <w:color w:val="auto"/>
                      <w:kern w:val="2"/>
                      <w:sz w:val="21"/>
                      <w:szCs w:val="21"/>
                      <w:lang w:eastAsia="zh-CN"/>
                    </w:rPr>
                    <w:t>日</w:t>
                  </w:r>
                </w:p>
              </w:tc>
              <w:tc>
                <w:tcPr>
                  <w:tcW w:w="1757"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kern w:val="0"/>
                      <w:sz w:val="21"/>
                      <w:szCs w:val="21"/>
                      <w:lang w:val="en-US" w:eastAsia="zh-CN"/>
                    </w:rPr>
                    <w:t>55</w:t>
                  </w:r>
                </w:p>
              </w:tc>
              <w:tc>
                <w:tcPr>
                  <w:tcW w:w="1764"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48" w:type="pct"/>
                  <w:vMerge w:val="continue"/>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166" w:type="pct"/>
                  <w:vMerge w:val="continue"/>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648" w:type="dxa"/>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kern w:val="2"/>
                      <w:sz w:val="21"/>
                      <w:szCs w:val="21"/>
                      <w:lang w:val="en-US" w:eastAsia="zh-CN"/>
                    </w:rPr>
                    <w:t>5</w:t>
                  </w:r>
                  <w:r>
                    <w:rPr>
                      <w:rFonts w:hint="default" w:ascii="Times New Roman" w:hAnsi="Times New Roman" w:eastAsia="宋体" w:cs="Times New Roman"/>
                      <w:color w:val="auto"/>
                      <w:kern w:val="2"/>
                      <w:sz w:val="21"/>
                      <w:szCs w:val="21"/>
                      <w:lang w:eastAsia="zh-CN"/>
                    </w:rPr>
                    <w:t>月</w:t>
                  </w:r>
                  <w:r>
                    <w:rPr>
                      <w:rFonts w:hint="eastAsia" w:ascii="Times New Roman" w:hAnsi="Times New Roman" w:eastAsia="宋体" w:cs="Times New Roman"/>
                      <w:color w:val="auto"/>
                      <w:kern w:val="2"/>
                      <w:sz w:val="21"/>
                      <w:szCs w:val="21"/>
                      <w:lang w:val="en-US" w:eastAsia="zh-CN"/>
                    </w:rPr>
                    <w:t>06</w:t>
                  </w:r>
                  <w:r>
                    <w:rPr>
                      <w:rFonts w:hint="default" w:ascii="Times New Roman" w:hAnsi="Times New Roman" w:eastAsia="宋体" w:cs="Times New Roman"/>
                      <w:color w:val="auto"/>
                      <w:kern w:val="2"/>
                      <w:sz w:val="21"/>
                      <w:szCs w:val="21"/>
                      <w:lang w:eastAsia="zh-CN"/>
                    </w:rPr>
                    <w:t>日</w:t>
                  </w:r>
                </w:p>
              </w:tc>
              <w:tc>
                <w:tcPr>
                  <w:tcW w:w="1757"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kern w:val="0"/>
                      <w:sz w:val="21"/>
                      <w:szCs w:val="21"/>
                      <w:lang w:val="en-US" w:eastAsia="zh-CN"/>
                    </w:rPr>
                    <w:t>55</w:t>
                  </w:r>
                </w:p>
              </w:tc>
              <w:tc>
                <w:tcPr>
                  <w:tcW w:w="1764"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8" w:type="pct"/>
                  <w:vMerge w:val="restart"/>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sz w:val="21"/>
                      <w:szCs w:val="21"/>
                      <w:lang w:eastAsia="zh-CN"/>
                    </w:rPr>
                    <w:t>N4</w:t>
                  </w:r>
                </w:p>
              </w:tc>
              <w:tc>
                <w:tcPr>
                  <w:tcW w:w="1166" w:type="pct"/>
                  <w:vMerge w:val="restar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sz w:val="21"/>
                      <w:szCs w:val="21"/>
                      <w:vertAlign w:val="baseline"/>
                      <w:lang w:val="en-US" w:eastAsia="zh-CN"/>
                    </w:rPr>
                    <w:t>厂界南</w:t>
                  </w:r>
                </w:p>
              </w:tc>
              <w:tc>
                <w:tcPr>
                  <w:tcW w:w="1648" w:type="dxa"/>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kern w:val="2"/>
                      <w:sz w:val="21"/>
                      <w:szCs w:val="21"/>
                      <w:lang w:val="en-US" w:eastAsia="zh-CN"/>
                    </w:rPr>
                    <w:t>5</w:t>
                  </w:r>
                  <w:r>
                    <w:rPr>
                      <w:rFonts w:hint="default" w:ascii="Times New Roman" w:hAnsi="Times New Roman" w:eastAsia="宋体" w:cs="Times New Roman"/>
                      <w:color w:val="auto"/>
                      <w:kern w:val="2"/>
                      <w:sz w:val="21"/>
                      <w:szCs w:val="21"/>
                      <w:lang w:eastAsia="zh-CN"/>
                    </w:rPr>
                    <w:t>月</w:t>
                  </w:r>
                  <w:r>
                    <w:rPr>
                      <w:rFonts w:hint="eastAsia" w:ascii="Times New Roman" w:hAnsi="Times New Roman" w:eastAsia="宋体" w:cs="Times New Roman"/>
                      <w:color w:val="auto"/>
                      <w:kern w:val="2"/>
                      <w:sz w:val="21"/>
                      <w:szCs w:val="21"/>
                      <w:lang w:val="en-US" w:eastAsia="zh-CN"/>
                    </w:rPr>
                    <w:t>05</w:t>
                  </w:r>
                  <w:r>
                    <w:rPr>
                      <w:rFonts w:hint="default" w:ascii="Times New Roman" w:hAnsi="Times New Roman" w:eastAsia="宋体" w:cs="Times New Roman"/>
                      <w:color w:val="auto"/>
                      <w:kern w:val="2"/>
                      <w:sz w:val="21"/>
                      <w:szCs w:val="21"/>
                      <w:lang w:eastAsia="zh-CN"/>
                    </w:rPr>
                    <w:t>日</w:t>
                  </w:r>
                </w:p>
              </w:tc>
              <w:tc>
                <w:tcPr>
                  <w:tcW w:w="1014"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rPr>
                    <w:t>55</w:t>
                  </w:r>
                </w:p>
              </w:tc>
              <w:tc>
                <w:tcPr>
                  <w:tcW w:w="1764"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48" w:type="pct"/>
                  <w:vMerge w:val="continue"/>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166" w:type="pct"/>
                  <w:vMerge w:val="continue"/>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p>
              </w:tc>
              <w:tc>
                <w:tcPr>
                  <w:tcW w:w="1648" w:type="dxa"/>
                  <w:tcBorders>
                    <w:tl2br w:val="nil"/>
                    <w:tr2bl w:val="nil"/>
                  </w:tcBorders>
                  <w:vAlign w:val="center"/>
                </w:tcPr>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kern w:val="2"/>
                      <w:sz w:val="21"/>
                      <w:szCs w:val="21"/>
                      <w:lang w:val="en-US" w:eastAsia="zh-CN"/>
                    </w:rPr>
                    <w:t>5</w:t>
                  </w:r>
                  <w:r>
                    <w:rPr>
                      <w:rFonts w:hint="default" w:ascii="Times New Roman" w:hAnsi="Times New Roman" w:eastAsia="宋体" w:cs="Times New Roman"/>
                      <w:color w:val="auto"/>
                      <w:kern w:val="2"/>
                      <w:sz w:val="21"/>
                      <w:szCs w:val="21"/>
                      <w:lang w:eastAsia="zh-CN"/>
                    </w:rPr>
                    <w:t>月</w:t>
                  </w:r>
                  <w:r>
                    <w:rPr>
                      <w:rFonts w:hint="eastAsia" w:ascii="Times New Roman" w:hAnsi="Times New Roman" w:eastAsia="宋体" w:cs="Times New Roman"/>
                      <w:color w:val="auto"/>
                      <w:kern w:val="2"/>
                      <w:sz w:val="21"/>
                      <w:szCs w:val="21"/>
                      <w:lang w:val="en-US" w:eastAsia="zh-CN"/>
                    </w:rPr>
                    <w:t>06</w:t>
                  </w:r>
                  <w:r>
                    <w:rPr>
                      <w:rFonts w:hint="default" w:ascii="Times New Roman" w:hAnsi="Times New Roman" w:eastAsia="宋体" w:cs="Times New Roman"/>
                      <w:color w:val="auto"/>
                      <w:kern w:val="2"/>
                      <w:sz w:val="21"/>
                      <w:szCs w:val="21"/>
                      <w:lang w:eastAsia="zh-CN"/>
                    </w:rPr>
                    <w:t>日</w:t>
                  </w:r>
                </w:p>
              </w:tc>
              <w:tc>
                <w:tcPr>
                  <w:tcW w:w="1014"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rPr>
                    <w:t>54</w:t>
                  </w:r>
                </w:p>
              </w:tc>
              <w:tc>
                <w:tcPr>
                  <w:tcW w:w="1764"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2965" w:type="pct"/>
                  <w:gridSpan w:val="3"/>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《工业企业厂界环境噪声排放标准》</w:t>
                  </w:r>
                </w:p>
                <w:p>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highlight w:val="none"/>
                    </w:rPr>
                    <w:t xml:space="preserve">GB 12348-2008 </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类区限值</w:t>
                  </w:r>
                </w:p>
              </w:tc>
              <w:tc>
                <w:tcPr>
                  <w:tcW w:w="1014"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6</w:t>
                  </w:r>
                  <w:r>
                    <w:rPr>
                      <w:rFonts w:hint="default" w:ascii="Times New Roman" w:hAnsi="Times New Roman" w:eastAsia="宋体" w:cs="Times New Roman"/>
                      <w:color w:val="auto"/>
                      <w:kern w:val="0"/>
                      <w:sz w:val="21"/>
                      <w:szCs w:val="21"/>
                      <w:highlight w:val="none"/>
                      <w:lang w:val="en-US" w:eastAsia="zh-CN"/>
                    </w:rPr>
                    <w:t>5</w:t>
                  </w:r>
                </w:p>
              </w:tc>
              <w:tc>
                <w:tcPr>
                  <w:tcW w:w="1019"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55</w:t>
                  </w:r>
                </w:p>
              </w:tc>
            </w:tr>
          </w:tbl>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由表</w:t>
            </w:r>
            <w:r>
              <w:rPr>
                <w:rFonts w:hint="default" w:ascii="Times New Roman" w:hAnsi="Times New Roman" w:eastAsia="宋体" w:cs="Times New Roman"/>
                <w:color w:val="auto"/>
                <w:lang w:val="en-US" w:eastAsia="zh-CN"/>
              </w:rPr>
              <w:t>15</w:t>
            </w:r>
            <w:r>
              <w:rPr>
                <w:rFonts w:hint="default" w:ascii="Times New Roman" w:hAnsi="Times New Roman" w:eastAsia="宋体" w:cs="Times New Roman"/>
                <w:color w:val="auto"/>
                <w:lang w:eastAsia="zh-CN"/>
              </w:rPr>
              <w:t>可知，本项目正常生产时车间厂界四周昼间最大噪声值为</w:t>
            </w:r>
            <w:r>
              <w:rPr>
                <w:rFonts w:hint="eastAsia" w:ascii="Times New Roman" w:hAnsi="Times New Roman" w:eastAsia="宋体" w:cs="Times New Roman"/>
                <w:color w:val="auto"/>
                <w:lang w:val="en-US" w:eastAsia="zh-CN"/>
              </w:rPr>
              <w:t>56</w:t>
            </w:r>
            <w:r>
              <w:rPr>
                <w:rFonts w:hint="default" w:ascii="Times New Roman" w:hAnsi="Times New Roman" w:eastAsia="宋体" w:cs="Times New Roman"/>
                <w:color w:val="auto"/>
                <w:lang w:eastAsia="zh-CN"/>
              </w:rPr>
              <w:t>dB(A)，夜间最大噪声值为</w:t>
            </w:r>
            <w:r>
              <w:rPr>
                <w:rFonts w:hint="eastAsia" w:ascii="Times New Roman" w:hAnsi="Times New Roman" w:eastAsia="宋体" w:cs="Times New Roman"/>
                <w:color w:val="auto"/>
                <w:lang w:val="en-US" w:eastAsia="zh-CN"/>
              </w:rPr>
              <w:t>44</w:t>
            </w:r>
            <w:r>
              <w:rPr>
                <w:rFonts w:hint="default" w:ascii="Times New Roman" w:hAnsi="Times New Roman" w:eastAsia="宋体" w:cs="Times New Roman"/>
                <w:color w:val="auto"/>
                <w:lang w:eastAsia="zh-CN"/>
              </w:rPr>
              <w:t>dB(A)，均能达到《工业企业厂界环境噪声排放标准》（GB12348-2008）中3类标准。</w:t>
            </w:r>
          </w:p>
          <w:p>
            <w:pPr>
              <w:pStyle w:val="10"/>
              <w:keepNext w:val="0"/>
              <w:keepLines w:val="0"/>
              <w:pageBreakBefore w:val="0"/>
              <w:widowControl w:val="0"/>
              <w:numPr>
                <w:ilvl w:val="0"/>
                <w:numId w:val="3"/>
              </w:numPr>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固体废物</w:t>
            </w:r>
            <w:r>
              <w:rPr>
                <w:rFonts w:hint="default" w:ascii="Times New Roman" w:hAnsi="Times New Roman" w:eastAsia="宋体" w:cs="Times New Roman"/>
                <w:color w:val="auto"/>
              </w:rPr>
              <w:t>监测结果及评价</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危险废物：车间生产单元产生的废活性炭、医药废物属于</w:t>
            </w:r>
            <w:r>
              <w:rPr>
                <w:rFonts w:hint="default" w:ascii="Times New Roman" w:hAnsi="Times New Roman" w:eastAsia="宋体" w:cs="Times New Roman"/>
                <w:color w:val="auto"/>
                <w:lang w:val="en-US" w:eastAsia="zh-CN"/>
              </w:rPr>
              <w:t>危险废物</w:t>
            </w:r>
            <w:r>
              <w:rPr>
                <w:rFonts w:hint="default" w:ascii="Times New Roman" w:hAnsi="Times New Roman" w:eastAsia="宋体" w:cs="Times New Roman"/>
                <w:color w:val="auto"/>
                <w:lang w:eastAsia="zh-CN"/>
              </w:rPr>
              <w:t>，交由有资质的单位湖南瀚洋环保科技有限公司处理，综合利用。</w:t>
            </w:r>
            <w:r>
              <w:rPr>
                <w:rFonts w:hint="eastAsia" w:ascii="Times New Roman" w:hAnsi="Times New Roman" w:eastAsia="宋体" w:cs="Times New Roman"/>
                <w:color w:val="auto"/>
                <w:lang w:eastAsia="zh-CN"/>
              </w:rPr>
              <w:t>危废协议见附件</w:t>
            </w:r>
            <w:r>
              <w:rPr>
                <w:rFonts w:hint="eastAsia" w:ascii="Times New Roman" w:hAnsi="Times New Roman" w:eastAsia="宋体" w:cs="Times New Roman"/>
                <w:color w:val="auto"/>
                <w:lang w:val="en-US" w:eastAsia="zh-CN"/>
              </w:rPr>
              <w:t>8</w:t>
            </w:r>
            <w:r>
              <w:rPr>
                <w:rFonts w:hint="default" w:ascii="Times New Roman" w:hAnsi="Times New Roman" w:eastAsia="宋体" w:cs="Times New Roman"/>
                <w:color w:val="auto"/>
                <w:lang w:val="en-US" w:eastAsia="zh-CN"/>
              </w:rPr>
              <w:t>。</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一般工业固废：锅炉产生的炉渣送砖厂综合利用、车间生产废包装材料由专业公司回收，污水处理站污泥及生活垃圾等定期送市垃圾填埋场。</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综上，项目产生的固体废物均做到合理处置，未对周边环境造成影响。</w:t>
            </w:r>
          </w:p>
          <w:p>
            <w:pPr>
              <w:pStyle w:val="10"/>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Times New Roman" w:hAnsi="Times New Roman" w:eastAsia="宋体" w:cs="Times New Roman"/>
                <w:color w:val="auto"/>
                <w:lang w:eastAsia="zh-CN"/>
              </w:rPr>
            </w:pPr>
          </w:p>
          <w:p>
            <w:pPr>
              <w:pStyle w:val="10"/>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Times New Roman" w:hAnsi="Times New Roman" w:eastAsia="宋体" w:cs="Times New Roman"/>
                <w:color w:val="auto"/>
                <w:lang w:eastAsia="zh-CN"/>
              </w:rPr>
            </w:pPr>
          </w:p>
          <w:p>
            <w:pPr>
              <w:pStyle w:val="10"/>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Times New Roman" w:hAnsi="Times New Roman" w:eastAsia="宋体" w:cs="Times New Roman"/>
                <w:color w:val="auto"/>
                <w:lang w:eastAsia="zh-CN"/>
              </w:rPr>
            </w:pPr>
          </w:p>
          <w:p>
            <w:pPr>
              <w:pStyle w:val="11"/>
              <w:rPr>
                <w:rFonts w:hint="default" w:ascii="Times New Roman" w:hAnsi="Times New Roman" w:eastAsia="宋体" w:cs="Times New Roman"/>
                <w:color w:val="auto"/>
                <w:lang w:eastAsia="zh-CN"/>
              </w:rPr>
            </w:pPr>
          </w:p>
          <w:p>
            <w:pPr>
              <w:pStyle w:val="11"/>
              <w:rPr>
                <w:rFonts w:hint="default" w:ascii="Times New Roman" w:hAnsi="Times New Roman" w:eastAsia="宋体" w:cs="Times New Roman"/>
                <w:color w:val="auto"/>
                <w:lang w:eastAsia="zh-CN"/>
              </w:rPr>
            </w:pPr>
          </w:p>
          <w:p>
            <w:pPr>
              <w:pStyle w:val="11"/>
              <w:rPr>
                <w:rFonts w:hint="default" w:ascii="Times New Roman" w:hAnsi="Times New Roman" w:eastAsia="宋体" w:cs="Times New Roman"/>
                <w:color w:val="auto"/>
                <w:lang w:eastAsia="zh-CN"/>
              </w:rPr>
            </w:pPr>
          </w:p>
          <w:p>
            <w:pPr>
              <w:pStyle w:val="11"/>
              <w:rPr>
                <w:rFonts w:hint="default" w:ascii="Times New Roman" w:hAnsi="Times New Roman" w:eastAsia="宋体" w:cs="Times New Roman"/>
                <w:color w:val="auto"/>
                <w:lang w:eastAsia="zh-CN"/>
              </w:rPr>
            </w:pPr>
          </w:p>
          <w:p>
            <w:pPr>
              <w:pStyle w:val="11"/>
              <w:rPr>
                <w:rFonts w:hint="default" w:ascii="Times New Roman" w:hAnsi="Times New Roman" w:eastAsia="宋体" w:cs="Times New Roman"/>
                <w:color w:val="auto"/>
                <w:lang w:eastAsia="zh-CN"/>
              </w:rPr>
            </w:pPr>
          </w:p>
          <w:p>
            <w:pPr>
              <w:pStyle w:val="11"/>
              <w:rPr>
                <w:rFonts w:hint="default" w:ascii="Times New Roman" w:hAnsi="Times New Roman" w:eastAsia="宋体" w:cs="Times New Roman"/>
                <w:color w:val="auto"/>
                <w:lang w:eastAsia="zh-CN"/>
              </w:rPr>
            </w:pPr>
          </w:p>
          <w:p>
            <w:pPr>
              <w:pStyle w:val="11"/>
              <w:rPr>
                <w:rFonts w:hint="default" w:ascii="Times New Roman" w:hAnsi="Times New Roman" w:eastAsia="宋体" w:cs="Times New Roman"/>
                <w:color w:val="auto"/>
                <w:lang w:eastAsia="zh-CN"/>
              </w:rPr>
            </w:pPr>
          </w:p>
          <w:p>
            <w:pPr>
              <w:pStyle w:val="11"/>
              <w:rPr>
                <w:rFonts w:hint="default" w:ascii="Times New Roman" w:hAnsi="Times New Roman" w:eastAsia="宋体" w:cs="Times New Roman"/>
                <w:color w:val="auto"/>
                <w:lang w:eastAsia="zh-CN"/>
              </w:rPr>
            </w:pPr>
          </w:p>
          <w:p>
            <w:pPr>
              <w:pStyle w:val="10"/>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Times New Roman" w:hAnsi="Times New Roman" w:eastAsia="宋体" w:cs="Times New Roman"/>
                <w:color w:val="auto"/>
                <w:lang w:eastAsia="zh-CN"/>
              </w:rPr>
            </w:pPr>
          </w:p>
          <w:p>
            <w:pPr>
              <w:pStyle w:val="10"/>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Times New Roman" w:hAnsi="Times New Roman" w:eastAsia="宋体" w:cs="Times New Roman"/>
                <w:color w:val="auto"/>
                <w:lang w:eastAsia="zh-CN"/>
              </w:rPr>
            </w:pPr>
          </w:p>
          <w:p>
            <w:pPr>
              <w:pStyle w:val="10"/>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Times New Roman" w:hAnsi="Times New Roman" w:eastAsia="宋体" w:cs="Times New Roman"/>
                <w:color w:val="auto"/>
                <w:lang w:eastAsia="zh-CN"/>
              </w:rPr>
            </w:pPr>
          </w:p>
          <w:p>
            <w:pPr>
              <w:pStyle w:val="10"/>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Times New Roman" w:hAnsi="Times New Roman" w:eastAsia="宋体" w:cs="Times New Roman"/>
                <w:color w:val="auto"/>
                <w:szCs w:val="20"/>
                <w:lang w:val="en-US" w:eastAsia="zh-CN"/>
              </w:rPr>
            </w:pPr>
          </w:p>
        </w:tc>
      </w:tr>
    </w:tbl>
    <w:p>
      <w:pPr>
        <w:widowControl/>
        <w:autoSpaceDE/>
        <w:autoSpaceDN/>
        <w:rPr>
          <w:rFonts w:hint="default" w:ascii="Times New Roman" w:hAnsi="Times New Roman" w:eastAsia="宋体" w:cs="Times New Roman"/>
          <w:color w:val="auto"/>
          <w:lang w:eastAsia="zh-CN"/>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lang w:eastAsia="zh-CN"/>
        </w:rPr>
        <w:t>表八</w:t>
      </w:r>
    </w:p>
    <w:tbl>
      <w:tblPr>
        <w:tblStyle w:val="19"/>
        <w:tblW w:w="9303" w:type="dxa"/>
        <w:jc w:val="center"/>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9303"/>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jc w:val="center"/>
        </w:trPr>
        <w:tc>
          <w:tcPr>
            <w:tcW w:w="9303" w:type="dxa"/>
            <w:tcBorders>
              <w:tl2br w:val="nil"/>
              <w:tr2bl w:val="nil"/>
            </w:tcBorders>
          </w:tcPr>
          <w:p>
            <w:pPr>
              <w:pStyle w:val="10"/>
              <w:keepNext w:val="0"/>
              <w:keepLines w:val="0"/>
              <w:pageBreakBefore w:val="0"/>
              <w:kinsoku/>
              <w:wordWrap/>
              <w:overflowPunct/>
              <w:topLinePunct w:val="0"/>
              <w:bidi w:val="0"/>
              <w:adjustRightInd/>
              <w:snapToGrid/>
              <w:spacing w:line="360" w:lineRule="auto"/>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验收监测结论：</w:t>
            </w:r>
          </w:p>
          <w:p>
            <w:pPr>
              <w:pStyle w:val="10"/>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1、环境保护管理制度</w:t>
            </w:r>
          </w:p>
          <w:p>
            <w:pPr>
              <w:pStyle w:val="10"/>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公司制定了环保规章制度，有专人负责环保现场管理，建立了一套完整的规章制度，设立了环境保护管理档案。制定环境保护设施操作规程，加强巡查，确保污染物稳定达标外排。</w:t>
            </w:r>
          </w:p>
          <w:p>
            <w:pPr>
              <w:pStyle w:val="10"/>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项目已办理排污许可证，属于合理排污，</w:t>
            </w:r>
            <w:r>
              <w:rPr>
                <w:rFonts w:hint="default" w:ascii="Times New Roman" w:hAnsi="Times New Roman" w:eastAsia="宋体" w:cs="Times New Roman"/>
                <w:color w:val="auto"/>
                <w:sz w:val="24"/>
                <w:szCs w:val="24"/>
                <w:lang w:val="en-US" w:eastAsia="zh-CN"/>
              </w:rPr>
              <w:t>详见附件3</w:t>
            </w:r>
            <w:r>
              <w:rPr>
                <w:rFonts w:hint="default" w:ascii="Times New Roman" w:hAnsi="Times New Roman" w:eastAsia="宋体" w:cs="Times New Roman"/>
                <w:color w:val="auto"/>
                <w:sz w:val="24"/>
                <w:szCs w:val="24"/>
                <w:lang w:eastAsia="zh-CN"/>
              </w:rPr>
              <w:t>。</w:t>
            </w:r>
          </w:p>
          <w:p>
            <w:pPr>
              <w:pStyle w:val="10"/>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湖南科伦制药有限公司岳阳分公司已制定包含本项目在内的突发环境事件应急预案，并已在岳阳市生态环境局岳阳经济技术开发区分局备案。详见附件2。</w:t>
            </w:r>
          </w:p>
          <w:p>
            <w:pPr>
              <w:pStyle w:val="10"/>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2、污染物排放监测结果</w:t>
            </w:r>
          </w:p>
          <w:p>
            <w:pPr>
              <w:pStyle w:val="10"/>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（1）废气验收监测结论</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监测结果表明：厂界无组织排放监控点所监测的颗粒物浓度，均符合《大气污染物综合排放标准》（GB16297-1996）中的表2无组织限值要求。车间废气排气筒出口中粉尘浓度均能满足《大气污染物综合排放标准》（GB 16297-1996）二级排放标准；生物质锅炉废气排放口出口中颗粒物、SO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、NOx浓度均能满足《锅炉大气污染物排放标准》（GB13271-2014）中表3中规定的大气污染物特别排放限值要求。</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（2）废水验收监测结论</w:t>
            </w:r>
          </w:p>
          <w:p>
            <w:pPr>
              <w:spacing w:line="360" w:lineRule="auto"/>
              <w:ind w:firstLine="482"/>
              <w:contextualSpacing/>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污水总排放口各监测因子监测结果为pH范围为</w:t>
            </w:r>
            <w:r>
              <w:rPr>
                <w:rFonts w:hint="eastAsia" w:ascii="Times New Roman" w:hAnsi="Times New Roman" w:eastAsia="宋体" w:cs="Times New Roman"/>
                <w:b w:val="0"/>
                <w:bCs w:val="0"/>
                <w:color w:val="auto"/>
                <w:kern w:val="2"/>
                <w:sz w:val="24"/>
                <w:szCs w:val="24"/>
                <w:lang w:val="en-US" w:eastAsia="zh-CN"/>
              </w:rPr>
              <w:t>7.51-8.32</w:t>
            </w:r>
            <w:r>
              <w:rPr>
                <w:rFonts w:hint="default" w:ascii="Times New Roman" w:hAnsi="Times New Roman" w:eastAsia="宋体" w:cs="Times New Roman"/>
                <w:color w:val="auto"/>
                <w:sz w:val="24"/>
                <w:szCs w:val="24"/>
                <w:lang w:eastAsia="zh-CN"/>
              </w:rPr>
              <w:t>、COD</w:t>
            </w:r>
            <w:r>
              <w:rPr>
                <w:rFonts w:hint="default" w:ascii="Times New Roman" w:hAnsi="Times New Roman" w:eastAsia="宋体" w:cs="Times New Roman"/>
                <w:color w:val="auto"/>
                <w:sz w:val="24"/>
                <w:szCs w:val="24"/>
                <w:vertAlign w:val="subscript"/>
                <w:lang w:val="en-US" w:eastAsia="zh-CN"/>
              </w:rPr>
              <w:t>Cr</w:t>
            </w:r>
            <w:r>
              <w:rPr>
                <w:rFonts w:hint="default" w:ascii="Times New Roman" w:hAnsi="Times New Roman" w:eastAsia="宋体" w:cs="Times New Roman"/>
                <w:color w:val="auto"/>
                <w:sz w:val="24"/>
                <w:szCs w:val="24"/>
                <w:lang w:eastAsia="zh-CN"/>
              </w:rPr>
              <w:t>最大监测浓度为</w:t>
            </w:r>
            <w:r>
              <w:rPr>
                <w:rFonts w:hint="eastAsia" w:ascii="Times New Roman" w:hAnsi="Times New Roman" w:eastAsia="宋体" w:cs="Times New Roman"/>
                <w:b w:val="0"/>
                <w:bCs w:val="0"/>
                <w:color w:val="auto"/>
                <w:kern w:val="0"/>
                <w:sz w:val="24"/>
                <w:szCs w:val="24"/>
                <w:highlight w:val="none"/>
                <w:lang w:val="en-US" w:eastAsia="zh-CN"/>
              </w:rPr>
              <w:t>183</w:t>
            </w:r>
            <w:r>
              <w:rPr>
                <w:rFonts w:hint="default" w:ascii="Times New Roman" w:hAnsi="Times New Roman" w:eastAsia="宋体" w:cs="Times New Roman"/>
                <w:color w:val="auto"/>
                <w:sz w:val="24"/>
                <w:szCs w:val="24"/>
                <w:lang w:eastAsia="zh-CN"/>
              </w:rPr>
              <w:t>mg/L，BOD</w:t>
            </w:r>
            <w:r>
              <w:rPr>
                <w:rFonts w:hint="default" w:ascii="Times New Roman" w:hAnsi="Times New Roman" w:eastAsia="宋体" w:cs="Times New Roman"/>
                <w:color w:val="auto"/>
                <w:sz w:val="24"/>
                <w:szCs w:val="24"/>
                <w:vertAlign w:val="subscript"/>
                <w:lang w:eastAsia="zh-CN"/>
              </w:rPr>
              <w:t>5</w:t>
            </w:r>
            <w:r>
              <w:rPr>
                <w:rFonts w:hint="default" w:ascii="Times New Roman" w:hAnsi="Times New Roman" w:eastAsia="宋体" w:cs="Times New Roman"/>
                <w:color w:val="auto"/>
                <w:sz w:val="24"/>
                <w:szCs w:val="24"/>
                <w:lang w:eastAsia="zh-CN"/>
              </w:rPr>
              <w:t>最大监测浓度为</w:t>
            </w:r>
            <w:r>
              <w:rPr>
                <w:rFonts w:hint="eastAsia" w:ascii="Times New Roman" w:hAnsi="Times New Roman" w:eastAsia="宋体" w:cs="Times New Roman"/>
                <w:b w:val="0"/>
                <w:bCs w:val="0"/>
                <w:color w:val="auto"/>
                <w:sz w:val="24"/>
                <w:szCs w:val="24"/>
                <w:lang w:val="en-US" w:eastAsia="zh-CN"/>
              </w:rPr>
              <w:t>49.8</w:t>
            </w:r>
            <w:r>
              <w:rPr>
                <w:rFonts w:hint="default" w:ascii="Times New Roman" w:hAnsi="Times New Roman" w:eastAsia="宋体" w:cs="Times New Roman"/>
                <w:color w:val="auto"/>
                <w:sz w:val="24"/>
                <w:szCs w:val="24"/>
                <w:lang w:eastAsia="zh-CN"/>
              </w:rPr>
              <w:t>mg/L，氨氮最大监测浓度为</w:t>
            </w:r>
            <w:r>
              <w:rPr>
                <w:rFonts w:hint="eastAsia" w:ascii="Times New Roman" w:hAnsi="Times New Roman" w:eastAsia="宋体" w:cs="Times New Roman"/>
                <w:b w:val="0"/>
                <w:bCs w:val="0"/>
                <w:color w:val="auto"/>
                <w:sz w:val="24"/>
                <w:szCs w:val="24"/>
                <w:lang w:val="en-US" w:eastAsia="zh-CN"/>
              </w:rPr>
              <w:t>0.775</w:t>
            </w:r>
            <w:r>
              <w:rPr>
                <w:rFonts w:hint="default" w:ascii="Times New Roman" w:hAnsi="Times New Roman" w:eastAsia="宋体" w:cs="Times New Roman"/>
                <w:color w:val="auto"/>
                <w:sz w:val="24"/>
                <w:szCs w:val="24"/>
                <w:lang w:eastAsia="zh-CN"/>
              </w:rPr>
              <w:t>mg/L，</w:t>
            </w:r>
            <w:r>
              <w:rPr>
                <w:rFonts w:hint="default" w:ascii="Times New Roman" w:hAnsi="Times New Roman" w:eastAsia="宋体" w:cs="Times New Roman"/>
                <w:color w:val="auto"/>
                <w:sz w:val="24"/>
                <w:szCs w:val="24"/>
                <w:lang w:val="en-US" w:eastAsia="zh-CN"/>
              </w:rPr>
              <w:t>SS</w:t>
            </w:r>
            <w:r>
              <w:rPr>
                <w:rFonts w:hint="default" w:ascii="Times New Roman" w:hAnsi="Times New Roman" w:eastAsia="宋体" w:cs="Times New Roman"/>
                <w:color w:val="auto"/>
                <w:sz w:val="24"/>
                <w:szCs w:val="24"/>
                <w:lang w:eastAsia="zh-CN"/>
              </w:rPr>
              <w:t>最大监测浓度为</w:t>
            </w:r>
            <w:r>
              <w:rPr>
                <w:rFonts w:hint="eastAsia" w:ascii="Times New Roman" w:hAnsi="Times New Roman" w:eastAsia="宋体" w:cs="Times New Roman"/>
                <w:b w:val="0"/>
                <w:bCs w:val="0"/>
                <w:color w:val="auto"/>
                <w:sz w:val="24"/>
                <w:szCs w:val="24"/>
                <w:lang w:val="en-US" w:eastAsia="zh-CN"/>
              </w:rPr>
              <w:t>121</w:t>
            </w:r>
            <w:r>
              <w:rPr>
                <w:rFonts w:hint="default" w:ascii="Times New Roman" w:hAnsi="Times New Roman" w:eastAsia="宋体" w:cs="Times New Roman"/>
                <w:color w:val="auto"/>
                <w:sz w:val="24"/>
                <w:szCs w:val="24"/>
                <w:lang w:eastAsia="zh-CN"/>
              </w:rPr>
              <w:t>mg/L，污水总排放口验收监测期间各监测因子浓度均符合《污水排放综合标准》（GB8978-1996）三级标准（罗家坡污水处理厂进水标准要求为《污水综合排放标准》三级标准</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w:t>
            </w:r>
          </w:p>
          <w:p>
            <w:pPr>
              <w:pStyle w:val="10"/>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（3）噪声验收监测结论</w:t>
            </w:r>
          </w:p>
          <w:p>
            <w:pPr>
              <w:pStyle w:val="10"/>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项目验收监测期间，本项目正常生产时车间厂界四周昼间最大噪声值为56dB(A)，夜间最大噪声值为44dB(A)，均能达到《工业企业厂界环境噪声排放标准》（GB12348-2008）中3类标准。</w:t>
            </w:r>
          </w:p>
          <w:p>
            <w:pPr>
              <w:pStyle w:val="10"/>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（4）固废验收调查结论</w:t>
            </w:r>
          </w:p>
          <w:p>
            <w:pPr>
              <w:pStyle w:val="10"/>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生产营运期间，所有固废均去</w:t>
            </w:r>
            <w:r>
              <w:rPr>
                <w:rFonts w:hint="eastAsia" w:ascii="Times New Roman" w:hAnsi="Times New Roman" w:eastAsia="宋体" w:cs="Times New Roman"/>
                <w:color w:val="auto"/>
                <w:sz w:val="24"/>
                <w:szCs w:val="24"/>
                <w:lang w:val="en-US" w:eastAsia="zh-CN"/>
              </w:rPr>
              <w:t>处</w:t>
            </w:r>
            <w:r>
              <w:rPr>
                <w:rFonts w:hint="default" w:ascii="Times New Roman" w:hAnsi="Times New Roman" w:eastAsia="宋体" w:cs="Times New Roman"/>
                <w:color w:val="auto"/>
                <w:sz w:val="24"/>
                <w:szCs w:val="24"/>
                <w:lang w:eastAsia="zh-CN"/>
              </w:rPr>
              <w:t>明确，处置合理，满足环保管理要求。</w:t>
            </w:r>
          </w:p>
          <w:p>
            <w:pPr>
              <w:pStyle w:val="10"/>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（5）污染物总量控制情况</w:t>
            </w:r>
          </w:p>
          <w:p>
            <w:pPr>
              <w:pStyle w:val="10"/>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公司排污权已购买总量指标总量控制为：C</w:t>
            </w:r>
            <w:r>
              <w:rPr>
                <w:rFonts w:hint="eastAsia" w:ascii="Times New Roman" w:hAnsi="Times New Roman" w:eastAsia="宋体" w:cs="Times New Roman"/>
                <w:color w:val="auto"/>
                <w:sz w:val="24"/>
                <w:szCs w:val="24"/>
                <w:lang w:val="en-US" w:eastAsia="zh-CN"/>
              </w:rPr>
              <w:t>O</w:t>
            </w:r>
            <w:r>
              <w:rPr>
                <w:rFonts w:hint="default" w:ascii="Times New Roman" w:hAnsi="Times New Roman" w:eastAsia="宋体" w:cs="Times New Roman"/>
                <w:color w:val="auto"/>
                <w:sz w:val="24"/>
                <w:szCs w:val="24"/>
                <w:lang w:eastAsia="zh-CN"/>
              </w:rPr>
              <w:t>D≤110t/a、SO</w:t>
            </w:r>
            <w:r>
              <w:rPr>
                <w:rFonts w:hint="default" w:ascii="Times New Roman" w:hAnsi="Times New Roman" w:eastAsia="宋体" w:cs="Times New Roman"/>
                <w:color w:val="auto"/>
                <w:sz w:val="24"/>
                <w:szCs w:val="24"/>
                <w:vertAlign w:val="subscript"/>
                <w:lang w:eastAsia="zh-CN"/>
              </w:rPr>
              <w:t>2</w:t>
            </w:r>
            <w:r>
              <w:rPr>
                <w:rFonts w:hint="default" w:ascii="Times New Roman" w:hAnsi="Times New Roman" w:eastAsia="宋体" w:cs="Times New Roman"/>
                <w:color w:val="auto"/>
                <w:sz w:val="24"/>
                <w:szCs w:val="24"/>
                <w:lang w:eastAsia="zh-CN"/>
              </w:rPr>
              <w:t>≤86t/a、氨氮.≤12/a、NO</w:t>
            </w:r>
            <w:r>
              <w:rPr>
                <w:rFonts w:hint="default" w:ascii="Times New Roman" w:hAnsi="Times New Roman" w:eastAsia="宋体" w:cs="Times New Roman"/>
                <w:color w:val="auto"/>
                <w:sz w:val="24"/>
                <w:szCs w:val="24"/>
                <w:vertAlign w:val="subscript"/>
                <w:lang w:eastAsia="zh-CN"/>
              </w:rPr>
              <w:t>X</w:t>
            </w:r>
            <w:r>
              <w:rPr>
                <w:rFonts w:hint="default" w:ascii="Times New Roman" w:hAnsi="Times New Roman" w:eastAsia="宋体" w:cs="Times New Roman"/>
                <w:color w:val="auto"/>
                <w:sz w:val="24"/>
                <w:szCs w:val="24"/>
                <w:lang w:eastAsia="zh-CN"/>
              </w:rPr>
              <w:t>≤45t/a。</w:t>
            </w:r>
          </w:p>
          <w:p>
            <w:pPr>
              <w:pStyle w:val="10"/>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本项目验收期间</w:t>
            </w:r>
            <w:r>
              <w:rPr>
                <w:rFonts w:hint="eastAsia" w:ascii="Times New Roman" w:hAnsi="Times New Roman" w:eastAsia="宋体" w:cs="Times New Roman"/>
                <w:color w:val="auto"/>
                <w:sz w:val="24"/>
                <w:szCs w:val="24"/>
                <w:lang w:eastAsia="zh-CN"/>
              </w:rPr>
              <w:t>废水总排口</w:t>
            </w:r>
            <w:r>
              <w:rPr>
                <w:rFonts w:hint="default" w:ascii="Times New Roman" w:hAnsi="Times New Roman" w:eastAsia="宋体" w:cs="Times New Roman"/>
                <w:color w:val="auto"/>
                <w:sz w:val="24"/>
                <w:szCs w:val="24"/>
                <w:lang w:eastAsia="zh-CN"/>
              </w:rPr>
              <w:t>废水量为</w:t>
            </w:r>
            <w:r>
              <w:rPr>
                <w:rFonts w:hint="eastAsia" w:ascii="Times New Roman" w:hAnsi="Times New Roman" w:eastAsia="宋体" w:cs="Times New Roman"/>
                <w:color w:val="auto"/>
                <w:sz w:val="24"/>
                <w:szCs w:val="24"/>
                <w:lang w:val="en-US" w:eastAsia="zh-CN"/>
              </w:rPr>
              <w:t>1450</w:t>
            </w:r>
            <w:r>
              <w:rPr>
                <w:rFonts w:hint="default" w:ascii="Times New Roman" w:hAnsi="Times New Roman" w:eastAsia="宋体" w:cs="Times New Roman"/>
                <w:color w:val="auto"/>
                <w:sz w:val="24"/>
                <w:szCs w:val="24"/>
                <w:lang w:eastAsia="zh-CN"/>
              </w:rPr>
              <w:t>t/d，综合废水排入罗家坡污水处理厂处理。根据要求，排放废</w:t>
            </w:r>
            <w:r>
              <w:rPr>
                <w:rFonts w:hint="eastAsia" w:ascii="Times New Roman" w:hAnsi="Times New Roman" w:eastAsia="宋体" w:cs="Times New Roman"/>
                <w:color w:val="auto"/>
                <w:sz w:val="24"/>
                <w:szCs w:val="24"/>
                <w:lang w:eastAsia="zh-CN"/>
              </w:rPr>
              <w:t>水</w:t>
            </w:r>
            <w:r>
              <w:rPr>
                <w:rFonts w:hint="default" w:ascii="Times New Roman" w:hAnsi="Times New Roman" w:eastAsia="宋体" w:cs="Times New Roman"/>
                <w:color w:val="auto"/>
                <w:sz w:val="24"/>
                <w:szCs w:val="24"/>
                <w:lang w:eastAsia="zh-CN"/>
              </w:rPr>
              <w:t>中主要污染物C</w:t>
            </w:r>
            <w:r>
              <w:rPr>
                <w:rFonts w:hint="eastAsia" w:ascii="Times New Roman" w:hAnsi="Times New Roman" w:eastAsia="宋体" w:cs="Times New Roman"/>
                <w:color w:val="auto"/>
                <w:sz w:val="24"/>
                <w:szCs w:val="24"/>
                <w:lang w:val="en-US" w:eastAsia="zh-CN"/>
              </w:rPr>
              <w:t>O</w:t>
            </w:r>
            <w:r>
              <w:rPr>
                <w:rFonts w:hint="default" w:ascii="Times New Roman" w:hAnsi="Times New Roman" w:eastAsia="宋体" w:cs="Times New Roman"/>
                <w:color w:val="auto"/>
                <w:sz w:val="24"/>
                <w:szCs w:val="24"/>
                <w:lang w:eastAsia="zh-CN"/>
              </w:rPr>
              <w:t>D、氨氮平均浓度分别为</w:t>
            </w:r>
            <w:r>
              <w:rPr>
                <w:rFonts w:hint="eastAsia" w:ascii="Times New Roman" w:hAnsi="Times New Roman" w:eastAsia="宋体" w:cs="Times New Roman"/>
                <w:color w:val="auto"/>
                <w:sz w:val="24"/>
                <w:szCs w:val="24"/>
                <w:lang w:val="en-US" w:eastAsia="zh-CN"/>
              </w:rPr>
              <w:t>179</w:t>
            </w:r>
            <w:r>
              <w:rPr>
                <w:rFonts w:hint="default" w:ascii="Times New Roman" w:hAnsi="Times New Roman" w:eastAsia="宋体" w:cs="Times New Roman"/>
                <w:color w:val="auto"/>
                <w:sz w:val="24"/>
                <w:szCs w:val="24"/>
                <w:lang w:eastAsia="zh-CN"/>
              </w:rPr>
              <w:t>mg/</w:t>
            </w:r>
            <w:r>
              <w:rPr>
                <w:rFonts w:hint="eastAsia" w:ascii="Times New Roman" w:hAnsi="Times New Roman" w:eastAsia="宋体" w:cs="Times New Roman"/>
                <w:color w:val="auto"/>
                <w:sz w:val="24"/>
                <w:szCs w:val="24"/>
                <w:lang w:val="en-US" w:eastAsia="zh-CN"/>
              </w:rPr>
              <w:t>L</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0.625</w:t>
            </w:r>
            <w:r>
              <w:rPr>
                <w:rFonts w:hint="default" w:ascii="Times New Roman" w:hAnsi="Times New Roman" w:eastAsia="宋体" w:cs="Times New Roman"/>
                <w:color w:val="auto"/>
                <w:sz w:val="24"/>
                <w:szCs w:val="24"/>
                <w:lang w:eastAsia="zh-CN"/>
              </w:rPr>
              <w:t>mg/</w:t>
            </w:r>
            <w:r>
              <w:rPr>
                <w:rFonts w:hint="eastAsia" w:ascii="Times New Roman" w:hAnsi="Times New Roman" w:eastAsia="宋体" w:cs="Times New Roman"/>
                <w:color w:val="auto"/>
                <w:sz w:val="24"/>
                <w:szCs w:val="24"/>
                <w:lang w:val="en-US" w:eastAsia="zh-CN"/>
              </w:rPr>
              <w:t>L</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核算出</w:t>
            </w:r>
            <w:r>
              <w:rPr>
                <w:rFonts w:hint="eastAsia" w:ascii="Times New Roman" w:hAnsi="Times New Roman" w:eastAsia="宋体" w:cs="Times New Roman"/>
                <w:color w:val="auto"/>
                <w:sz w:val="24"/>
                <w:szCs w:val="24"/>
                <w:lang w:eastAsia="zh-CN"/>
              </w:rPr>
              <w:t>公司总排口废水污染物总量指标为</w:t>
            </w:r>
            <w:r>
              <w:rPr>
                <w:rFonts w:hint="default" w:ascii="Times New Roman" w:hAnsi="Times New Roman" w:eastAsia="宋体" w:cs="Times New Roman"/>
                <w:color w:val="auto"/>
                <w:sz w:val="24"/>
                <w:szCs w:val="24"/>
                <w:lang w:eastAsia="zh-CN"/>
              </w:rPr>
              <w:t>：C</w:t>
            </w:r>
            <w:r>
              <w:rPr>
                <w:rFonts w:hint="eastAsia" w:ascii="Times New Roman" w:hAnsi="Times New Roman" w:eastAsia="宋体" w:cs="Times New Roman"/>
                <w:color w:val="auto"/>
                <w:sz w:val="24"/>
                <w:szCs w:val="24"/>
                <w:lang w:val="en-US" w:eastAsia="zh-CN"/>
              </w:rPr>
              <w:t>O</w:t>
            </w:r>
            <w:r>
              <w:rPr>
                <w:rFonts w:hint="default" w:ascii="Times New Roman" w:hAnsi="Times New Roman" w:eastAsia="宋体" w:cs="Times New Roman"/>
                <w:color w:val="auto"/>
                <w:sz w:val="24"/>
                <w:szCs w:val="24"/>
                <w:lang w:eastAsia="zh-CN"/>
              </w:rPr>
              <w:t>D</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64.89</w:t>
            </w:r>
            <w:r>
              <w:rPr>
                <w:rFonts w:hint="default" w:ascii="Times New Roman" w:hAnsi="Times New Roman" w:eastAsia="宋体" w:cs="Times New Roman"/>
                <w:color w:val="auto"/>
                <w:sz w:val="24"/>
                <w:szCs w:val="24"/>
                <w:lang w:eastAsia="zh-CN"/>
              </w:rPr>
              <w:t>t/a、氨氮.≤</w:t>
            </w:r>
            <w:r>
              <w:rPr>
                <w:rFonts w:hint="eastAsia" w:ascii="Times New Roman" w:hAnsi="Times New Roman" w:eastAsia="宋体" w:cs="Times New Roman"/>
                <w:color w:val="auto"/>
                <w:sz w:val="24"/>
                <w:szCs w:val="24"/>
                <w:lang w:val="en-US" w:eastAsia="zh-CN"/>
              </w:rPr>
              <w:t>0.226t</w:t>
            </w:r>
            <w:r>
              <w:rPr>
                <w:rFonts w:hint="default" w:ascii="Times New Roman" w:hAnsi="Times New Roman" w:eastAsia="宋体" w:cs="Times New Roman"/>
                <w:color w:val="auto"/>
                <w:sz w:val="24"/>
                <w:szCs w:val="24"/>
                <w:lang w:eastAsia="zh-CN"/>
              </w:rPr>
              <w:t>/a</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eastAsia="zh-CN"/>
              </w:rPr>
              <w:t>均</w:t>
            </w:r>
            <w:r>
              <w:rPr>
                <w:rFonts w:hint="eastAsia" w:ascii="Times New Roman" w:hAnsi="Times New Roman" w:eastAsia="宋体" w:cs="Times New Roman"/>
                <w:color w:val="auto"/>
                <w:sz w:val="24"/>
                <w:szCs w:val="24"/>
                <w:lang w:val="en-US" w:eastAsia="zh-CN"/>
              </w:rPr>
              <w:t>满足全厂总量控制（</w:t>
            </w:r>
            <w:r>
              <w:rPr>
                <w:rFonts w:hint="default" w:ascii="Times New Roman" w:hAnsi="Times New Roman" w:eastAsia="宋体" w:cs="Times New Roman"/>
                <w:color w:val="auto"/>
                <w:sz w:val="24"/>
                <w:szCs w:val="24"/>
                <w:lang w:eastAsia="zh-CN"/>
              </w:rPr>
              <w:t>C</w:t>
            </w:r>
            <w:r>
              <w:rPr>
                <w:rFonts w:hint="eastAsia" w:ascii="Times New Roman" w:hAnsi="Times New Roman" w:eastAsia="宋体" w:cs="Times New Roman"/>
                <w:color w:val="auto"/>
                <w:sz w:val="24"/>
                <w:szCs w:val="24"/>
                <w:lang w:val="en-US" w:eastAsia="zh-CN"/>
              </w:rPr>
              <w:t>O</w:t>
            </w:r>
            <w:r>
              <w:rPr>
                <w:rFonts w:hint="default" w:ascii="Times New Roman" w:hAnsi="Times New Roman" w:eastAsia="宋体" w:cs="Times New Roman"/>
                <w:color w:val="auto"/>
                <w:sz w:val="24"/>
                <w:szCs w:val="24"/>
                <w:lang w:eastAsia="zh-CN"/>
              </w:rPr>
              <w:t>D≤110t/a、氨氮≤12/a</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w:t>
            </w:r>
          </w:p>
          <w:p>
            <w:pPr>
              <w:pStyle w:val="10"/>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排放废气中主要污染物SO</w:t>
            </w:r>
            <w:r>
              <w:rPr>
                <w:rFonts w:hint="default" w:ascii="Times New Roman" w:hAnsi="Times New Roman" w:eastAsia="宋体" w:cs="Times New Roman"/>
                <w:color w:val="auto"/>
                <w:sz w:val="24"/>
                <w:szCs w:val="24"/>
                <w:vertAlign w:val="subscript"/>
                <w:lang w:eastAsia="zh-CN"/>
              </w:rPr>
              <w:t>2</w:t>
            </w:r>
            <w:r>
              <w:rPr>
                <w:rFonts w:hint="default" w:ascii="Times New Roman" w:hAnsi="Times New Roman" w:eastAsia="宋体" w:cs="Times New Roman"/>
                <w:color w:val="auto"/>
                <w:sz w:val="24"/>
                <w:szCs w:val="24"/>
                <w:lang w:eastAsia="zh-CN"/>
              </w:rPr>
              <w:t>、NO</w:t>
            </w:r>
            <w:r>
              <w:rPr>
                <w:rFonts w:hint="default" w:ascii="Times New Roman" w:hAnsi="Times New Roman" w:eastAsia="宋体" w:cs="Times New Roman"/>
                <w:color w:val="auto"/>
                <w:sz w:val="24"/>
                <w:szCs w:val="24"/>
                <w:vertAlign w:val="subscript"/>
                <w:lang w:eastAsia="zh-CN"/>
              </w:rPr>
              <w:t>X</w:t>
            </w:r>
            <w:r>
              <w:rPr>
                <w:rFonts w:hint="eastAsia" w:ascii="Times New Roman" w:hAnsi="Times New Roman" w:eastAsia="宋体" w:cs="Times New Roman"/>
                <w:color w:val="auto"/>
                <w:sz w:val="24"/>
                <w:szCs w:val="24"/>
                <w:lang w:val="en-US" w:eastAsia="zh-CN"/>
              </w:rPr>
              <w:t>平均浓度分别为＜3</w:t>
            </w:r>
            <w:r>
              <w:rPr>
                <w:rFonts w:hint="default" w:ascii="Times New Roman" w:hAnsi="Times New Roman" w:eastAsia="宋体" w:cs="Times New Roman"/>
                <w:color w:val="auto"/>
                <w:sz w:val="24"/>
                <w:szCs w:val="24"/>
                <w:lang w:eastAsia="zh-CN"/>
              </w:rPr>
              <w:t>mg/m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38.9</w:t>
            </w:r>
            <w:r>
              <w:rPr>
                <w:rFonts w:hint="default" w:ascii="Times New Roman" w:hAnsi="Times New Roman" w:eastAsia="宋体" w:cs="Times New Roman"/>
                <w:color w:val="auto"/>
                <w:sz w:val="24"/>
                <w:szCs w:val="24"/>
                <w:lang w:eastAsia="zh-CN"/>
              </w:rPr>
              <w:t>mg/m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核算出本项目废气污染物中</w:t>
            </w:r>
            <w:r>
              <w:rPr>
                <w:rFonts w:hint="default" w:ascii="Times New Roman" w:hAnsi="Times New Roman" w:eastAsia="宋体" w:cs="Times New Roman"/>
                <w:color w:val="auto"/>
                <w:sz w:val="24"/>
                <w:szCs w:val="24"/>
                <w:lang w:eastAsia="zh-CN"/>
              </w:rPr>
              <w:t>总量指标为SO</w:t>
            </w:r>
            <w:r>
              <w:rPr>
                <w:rFonts w:hint="default" w:ascii="Times New Roman" w:hAnsi="Times New Roman" w:eastAsia="宋体" w:cs="Times New Roman"/>
                <w:color w:val="auto"/>
                <w:sz w:val="24"/>
                <w:szCs w:val="24"/>
                <w:vertAlign w:val="subscript"/>
                <w:lang w:eastAsia="zh-CN"/>
              </w:rPr>
              <w:t>2</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＜0.204</w:t>
            </w:r>
            <w:r>
              <w:rPr>
                <w:rFonts w:hint="default" w:ascii="Times New Roman" w:hAnsi="Times New Roman" w:eastAsia="宋体" w:cs="Times New Roman"/>
                <w:color w:val="auto"/>
                <w:sz w:val="24"/>
                <w:szCs w:val="24"/>
                <w:lang w:eastAsia="zh-CN"/>
              </w:rPr>
              <w:t>t/a，NO</w:t>
            </w:r>
            <w:r>
              <w:rPr>
                <w:rFonts w:hint="default" w:ascii="Times New Roman" w:hAnsi="Times New Roman" w:eastAsia="宋体" w:cs="Times New Roman"/>
                <w:color w:val="auto"/>
                <w:sz w:val="24"/>
                <w:szCs w:val="24"/>
                <w:vertAlign w:val="subscript"/>
                <w:lang w:eastAsia="zh-CN"/>
              </w:rPr>
              <w:t>X</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2.97</w:t>
            </w:r>
            <w:r>
              <w:rPr>
                <w:rFonts w:hint="default" w:ascii="Times New Roman" w:hAnsi="Times New Roman" w:eastAsia="宋体" w:cs="Times New Roman"/>
                <w:color w:val="auto"/>
                <w:sz w:val="24"/>
                <w:szCs w:val="24"/>
                <w:lang w:eastAsia="zh-CN"/>
              </w:rPr>
              <w:t>t/a，</w:t>
            </w:r>
            <w:r>
              <w:rPr>
                <w:rFonts w:hint="eastAsia" w:ascii="Times New Roman" w:hAnsi="Times New Roman" w:eastAsia="宋体" w:cs="Times New Roman"/>
                <w:color w:val="auto"/>
                <w:sz w:val="24"/>
                <w:szCs w:val="24"/>
                <w:lang w:eastAsia="zh-CN"/>
              </w:rPr>
              <w:t>均</w:t>
            </w:r>
            <w:r>
              <w:rPr>
                <w:rFonts w:hint="eastAsia" w:ascii="Times New Roman" w:hAnsi="Times New Roman" w:eastAsia="宋体" w:cs="Times New Roman"/>
                <w:color w:val="auto"/>
                <w:sz w:val="24"/>
                <w:szCs w:val="24"/>
                <w:lang w:val="en-US" w:eastAsia="zh-CN"/>
              </w:rPr>
              <w:t>满足环评总量控制要求(</w:t>
            </w:r>
            <w:r>
              <w:rPr>
                <w:rFonts w:hint="default" w:ascii="Times New Roman" w:hAnsi="Times New Roman" w:eastAsia="宋体" w:cs="Times New Roman"/>
                <w:color w:val="auto"/>
                <w:sz w:val="24"/>
                <w:szCs w:val="24"/>
                <w:lang w:eastAsia="zh-CN"/>
              </w:rPr>
              <w:t>SO</w:t>
            </w:r>
            <w:r>
              <w:rPr>
                <w:rFonts w:hint="default" w:ascii="Times New Roman" w:hAnsi="Times New Roman" w:eastAsia="宋体" w:cs="Times New Roman"/>
                <w:color w:val="auto"/>
                <w:sz w:val="24"/>
                <w:szCs w:val="24"/>
                <w:vertAlign w:val="subscript"/>
                <w:lang w:eastAsia="zh-CN"/>
              </w:rPr>
              <w:t>2</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6.09</w:t>
            </w:r>
            <w:r>
              <w:rPr>
                <w:rFonts w:hint="default" w:ascii="Times New Roman" w:hAnsi="Times New Roman" w:eastAsia="宋体" w:cs="Times New Roman"/>
                <w:color w:val="auto"/>
                <w:sz w:val="24"/>
                <w:szCs w:val="24"/>
                <w:lang w:eastAsia="zh-CN"/>
              </w:rPr>
              <w:t>t/a，NO</w:t>
            </w:r>
            <w:r>
              <w:rPr>
                <w:rFonts w:hint="default" w:ascii="Times New Roman" w:hAnsi="Times New Roman" w:eastAsia="宋体" w:cs="Times New Roman"/>
                <w:color w:val="auto"/>
                <w:sz w:val="24"/>
                <w:szCs w:val="24"/>
                <w:vertAlign w:val="subscript"/>
                <w:lang w:eastAsia="zh-CN"/>
              </w:rPr>
              <w:t>X</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15.62</w:t>
            </w:r>
            <w:r>
              <w:rPr>
                <w:rFonts w:hint="default" w:ascii="Times New Roman" w:hAnsi="Times New Roman" w:eastAsia="宋体" w:cs="Times New Roman"/>
                <w:color w:val="auto"/>
                <w:sz w:val="24"/>
                <w:szCs w:val="24"/>
                <w:lang w:eastAsia="zh-CN"/>
              </w:rPr>
              <w:t>t/a</w:t>
            </w:r>
            <w:r>
              <w:rPr>
                <w:rFonts w:hint="eastAsia" w:ascii="Times New Roman" w:hAnsi="Times New Roman" w:eastAsia="宋体" w:cs="Times New Roman"/>
                <w:color w:val="auto"/>
                <w:sz w:val="24"/>
                <w:szCs w:val="24"/>
                <w:lang w:val="en-US" w:eastAsia="zh-CN"/>
              </w:rPr>
              <w:t>)。</w:t>
            </w:r>
          </w:p>
          <w:p>
            <w:pPr>
              <w:pStyle w:val="10"/>
              <w:keepNext w:val="0"/>
              <w:keepLines w:val="0"/>
              <w:pageBreakBefore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、总结论</w:t>
            </w:r>
          </w:p>
          <w:p>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本项目污染防治设施和环境管理制度</w:t>
            </w:r>
            <w:r>
              <w:rPr>
                <w:rFonts w:hint="eastAsia" w:ascii="Times New Roman" w:hAnsi="Times New Roman" w:eastAsia="宋体" w:cs="Times New Roman"/>
                <w:color w:val="auto"/>
                <w:sz w:val="24"/>
                <w:szCs w:val="24"/>
                <w:lang w:val="en-US" w:eastAsia="zh-CN"/>
              </w:rPr>
              <w:t>较</w:t>
            </w:r>
            <w:r>
              <w:rPr>
                <w:rFonts w:hint="default" w:ascii="Times New Roman" w:hAnsi="Times New Roman" w:eastAsia="宋体" w:cs="Times New Roman"/>
                <w:color w:val="auto"/>
                <w:sz w:val="24"/>
                <w:szCs w:val="24"/>
                <w:lang w:val="en-US" w:eastAsia="zh-CN"/>
              </w:rPr>
              <w:t>完善，</w:t>
            </w:r>
            <w:bookmarkStart w:id="7" w:name="_GoBack"/>
            <w:bookmarkEnd w:id="7"/>
            <w:r>
              <w:rPr>
                <w:rFonts w:hint="default" w:ascii="Times New Roman" w:hAnsi="Times New Roman" w:eastAsia="宋体" w:cs="Times New Roman"/>
                <w:color w:val="auto"/>
                <w:sz w:val="24"/>
                <w:szCs w:val="24"/>
                <w:lang w:val="en-US" w:eastAsia="zh-CN"/>
              </w:rPr>
              <w:t>监测数据显示验收监测期间各项污染物均能达标排放，生活垃圾得到妥善处理，危险交由有资质单位处理已签订协议，各类固废可得到有效处置。</w:t>
            </w:r>
          </w:p>
          <w:p>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综上分析，本项目的建设履行了环境影响评价审批手续，</w:t>
            </w:r>
            <w:r>
              <w:rPr>
                <w:rFonts w:hint="eastAsia"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lang w:val="en-US" w:eastAsia="zh-CN"/>
              </w:rPr>
              <w:t>各环保设施运转状况基本正常。项目已按环评批复要求进行了环境保护设施建设，根据监测结果可满足相关环境排放标准要求，对环境影响较小</w:t>
            </w:r>
            <w:r>
              <w:rPr>
                <w:rFonts w:hint="eastAsia" w:ascii="Times New Roman" w:hAnsi="Times New Roman" w:eastAsia="宋体" w:cs="Times New Roman"/>
                <w:color w:val="auto"/>
                <w:sz w:val="24"/>
                <w:szCs w:val="24"/>
                <w:lang w:val="en-US" w:eastAsia="zh-CN"/>
              </w:rPr>
              <w:t>。</w:t>
            </w:r>
          </w:p>
          <w:p>
            <w:pPr>
              <w:jc w:val="both"/>
              <w:rPr>
                <w:rFonts w:hint="default" w:ascii="Times New Roman" w:hAnsi="Times New Roman" w:eastAsia="宋体" w:cs="Times New Roman"/>
                <w:color w:val="auto"/>
                <w:sz w:val="24"/>
                <w:szCs w:val="24"/>
                <w:lang w:val="en-US" w:eastAsia="zh-CN"/>
              </w:rPr>
            </w:pPr>
          </w:p>
          <w:p>
            <w:pPr>
              <w:pStyle w:val="2"/>
              <w:jc w:val="both"/>
              <w:rPr>
                <w:rFonts w:hint="default" w:ascii="Times New Roman" w:hAnsi="Times New Roman" w:eastAsia="宋体" w:cs="Times New Roman"/>
                <w:color w:val="auto"/>
                <w:sz w:val="24"/>
                <w:szCs w:val="24"/>
                <w:lang w:val="en-US" w:eastAsia="zh-CN"/>
              </w:rPr>
            </w:pPr>
          </w:p>
          <w:p>
            <w:pPr>
              <w:pStyle w:val="3"/>
              <w:rPr>
                <w:rFonts w:hint="default" w:ascii="Times New Roman" w:hAnsi="Times New Roman" w:eastAsia="宋体" w:cs="Times New Roman"/>
                <w:color w:val="auto"/>
                <w:sz w:val="24"/>
                <w:szCs w:val="24"/>
                <w:lang w:val="en-US" w:eastAsia="zh-CN"/>
              </w:rPr>
            </w:pPr>
          </w:p>
          <w:p>
            <w:pPr>
              <w:pStyle w:val="3"/>
              <w:rPr>
                <w:rFonts w:hint="default" w:ascii="Times New Roman" w:hAnsi="Times New Roman" w:eastAsia="宋体" w:cs="Times New Roman"/>
                <w:color w:val="auto"/>
                <w:sz w:val="24"/>
                <w:szCs w:val="24"/>
                <w:lang w:val="en-US" w:eastAsia="zh-CN"/>
              </w:rPr>
            </w:pPr>
          </w:p>
          <w:p>
            <w:pPr>
              <w:pStyle w:val="3"/>
              <w:rPr>
                <w:rFonts w:hint="default" w:ascii="Times New Roman" w:hAnsi="Times New Roman" w:eastAsia="宋体" w:cs="Times New Roman"/>
                <w:color w:val="auto"/>
                <w:sz w:val="24"/>
                <w:szCs w:val="24"/>
                <w:lang w:val="en-US" w:eastAsia="zh-CN"/>
              </w:rPr>
            </w:pPr>
          </w:p>
          <w:p>
            <w:pPr>
              <w:pStyle w:val="3"/>
              <w:rPr>
                <w:rFonts w:hint="default" w:ascii="Times New Roman" w:hAnsi="Times New Roman" w:eastAsia="宋体" w:cs="Times New Roman"/>
                <w:color w:val="auto"/>
                <w:sz w:val="24"/>
                <w:szCs w:val="24"/>
                <w:lang w:val="en-US" w:eastAsia="zh-CN"/>
              </w:rPr>
            </w:pPr>
          </w:p>
          <w:p>
            <w:pPr>
              <w:pStyle w:val="3"/>
              <w:rPr>
                <w:rFonts w:hint="default" w:ascii="Times New Roman" w:hAnsi="Times New Roman" w:eastAsia="宋体" w:cs="Times New Roman"/>
                <w:color w:val="auto"/>
                <w:sz w:val="24"/>
                <w:szCs w:val="24"/>
                <w:lang w:val="en-US" w:eastAsia="zh-CN"/>
              </w:rPr>
            </w:pPr>
          </w:p>
          <w:p>
            <w:pPr>
              <w:pStyle w:val="3"/>
              <w:rPr>
                <w:rFonts w:hint="default" w:ascii="Times New Roman" w:hAnsi="Times New Roman" w:eastAsia="宋体" w:cs="Times New Roman"/>
                <w:color w:val="auto"/>
                <w:sz w:val="24"/>
                <w:szCs w:val="24"/>
                <w:lang w:val="en-US" w:eastAsia="zh-CN"/>
              </w:rPr>
            </w:pPr>
          </w:p>
          <w:p>
            <w:pPr>
              <w:pStyle w:val="3"/>
              <w:rPr>
                <w:rFonts w:hint="default" w:ascii="Times New Roman" w:hAnsi="Times New Roman" w:eastAsia="宋体" w:cs="Times New Roman"/>
                <w:color w:val="auto"/>
                <w:sz w:val="24"/>
                <w:szCs w:val="24"/>
                <w:lang w:val="en-US" w:eastAsia="zh-CN"/>
              </w:rPr>
            </w:pPr>
          </w:p>
          <w:p>
            <w:pPr>
              <w:pStyle w:val="3"/>
              <w:rPr>
                <w:rFonts w:hint="default" w:ascii="Times New Roman" w:hAnsi="Times New Roman" w:eastAsia="宋体" w:cs="Times New Roman"/>
                <w:color w:val="auto"/>
                <w:sz w:val="24"/>
                <w:szCs w:val="24"/>
                <w:lang w:val="en-US" w:eastAsia="zh-CN"/>
              </w:rPr>
            </w:pPr>
          </w:p>
          <w:p>
            <w:pPr>
              <w:pStyle w:val="3"/>
              <w:rPr>
                <w:rFonts w:hint="default" w:ascii="Times New Roman" w:hAnsi="Times New Roman" w:eastAsia="宋体" w:cs="Times New Roman"/>
                <w:color w:val="auto"/>
                <w:sz w:val="24"/>
                <w:szCs w:val="24"/>
                <w:lang w:val="en-US" w:eastAsia="zh-CN"/>
              </w:rPr>
            </w:pPr>
          </w:p>
          <w:p>
            <w:pPr>
              <w:pStyle w:val="3"/>
              <w:rPr>
                <w:rFonts w:hint="default" w:ascii="Times New Roman" w:hAnsi="Times New Roman" w:eastAsia="宋体" w:cs="Times New Roman"/>
                <w:color w:val="auto"/>
                <w:sz w:val="24"/>
                <w:szCs w:val="24"/>
                <w:lang w:val="en-US" w:eastAsia="zh-CN"/>
              </w:rPr>
            </w:pPr>
          </w:p>
          <w:p>
            <w:pPr>
              <w:pStyle w:val="10"/>
              <w:spacing w:line="360" w:lineRule="auto"/>
              <w:ind w:firstLine="480" w:firstLineChars="200"/>
              <w:jc w:val="both"/>
              <w:rPr>
                <w:rFonts w:hint="default" w:ascii="Times New Roman" w:hAnsi="Times New Roman" w:eastAsia="宋体" w:cs="Times New Roman"/>
                <w:color w:val="auto"/>
                <w:sz w:val="24"/>
                <w:szCs w:val="24"/>
                <w:lang w:eastAsia="zh-CN"/>
              </w:rPr>
            </w:pPr>
          </w:p>
          <w:p>
            <w:pPr>
              <w:pStyle w:val="11"/>
              <w:jc w:val="both"/>
              <w:rPr>
                <w:rFonts w:hint="default" w:ascii="Times New Roman" w:hAnsi="Times New Roman" w:eastAsia="宋体" w:cs="Times New Roman"/>
                <w:color w:val="auto"/>
                <w:sz w:val="24"/>
                <w:szCs w:val="24"/>
                <w:lang w:eastAsia="zh-CN"/>
              </w:rPr>
            </w:pPr>
          </w:p>
        </w:tc>
      </w:tr>
    </w:tbl>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1440" w:firstLineChars="600"/>
        <w:jc w:val="left"/>
        <w:textAlignment w:val="auto"/>
        <w:outlineLvl w:val="9"/>
        <w:rPr>
          <w:rFonts w:hint="eastAsia" w:eastAsiaTheme="minorEastAsia"/>
          <w:lang w:eastAsia="zh-CN"/>
        </w:rPr>
      </w:pPr>
    </w:p>
    <w:sectPr>
      <w:headerReference r:id="rId7" w:type="default"/>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Noto Sans Mono CJK JP Regular">
    <w:altName w:val="Segoe Print"/>
    <w:panose1 w:val="00000000000000000000"/>
    <w:charset w:val="00"/>
    <w:family w:val="swiss"/>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auto"/>
    <w:pitch w:val="default"/>
    <w:sig w:usb0="E00002FF" w:usb1="400004FF" w:usb2="00000000" w:usb3="00000000" w:csb0="2000019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77631304"/>
      <w:docPartObj>
        <w:docPartGallery w:val="autotext"/>
      </w:docPartObj>
    </w:sdtPr>
    <w:sdtEndPr>
      <w:rPr>
        <w:rFonts w:ascii="Times New Roman" w:hAnsi="Times New Roman" w:cs="Times New Roman"/>
      </w:rPr>
    </w:sdtEndPr>
    <w:sdtContent>
      <w:p>
        <w:pPr>
          <w:pStyle w:val="14"/>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eastAsia="zh-CN"/>
          </w:rPr>
          <w:t>2</w:t>
        </w:r>
        <w:r>
          <w:rPr>
            <w:rFonts w:ascii="Times New Roman" w:hAnsi="Times New Roman" w:cs="Times New Roma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Times New Roman" w:hAnsi="Times New Roman" w:cs="Times New Roma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ind w:firstLine="0"/>
      <w:rPr>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lang w:eastAsia="zh-CN"/>
      </w:rPr>
    </w:pPr>
    <w:r>
      <w:rPr>
        <w:rFonts w:hint="eastAsia"/>
        <w:spacing w:val="-2"/>
        <w:szCs w:val="21"/>
        <w:lang w:eastAsia="zh-CN"/>
      </w:rPr>
      <w:t>岳阳安泰实业有限公司纸制品加工项目</w:t>
    </w:r>
    <w:r>
      <w:rPr>
        <w:rFonts w:hint="eastAsia"/>
        <w:lang w:eastAsia="zh-CN"/>
      </w:rPr>
      <w:t>竣工环保验收监测报告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ind w:firstLine="0"/>
      <w:jc w:val="center"/>
      <w:rPr>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rPr>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D73A26"/>
    <w:multiLevelType w:val="singleLevel"/>
    <w:tmpl w:val="90D73A26"/>
    <w:lvl w:ilvl="0" w:tentative="0">
      <w:start w:val="1"/>
      <w:numFmt w:val="decimal"/>
      <w:suff w:val="nothing"/>
      <w:lvlText w:val="%1、"/>
      <w:lvlJc w:val="left"/>
    </w:lvl>
  </w:abstractNum>
  <w:abstractNum w:abstractNumId="1">
    <w:nsid w:val="0E1EAC28"/>
    <w:multiLevelType w:val="singleLevel"/>
    <w:tmpl w:val="0E1EAC28"/>
    <w:lvl w:ilvl="0" w:tentative="0">
      <w:start w:val="1"/>
      <w:numFmt w:val="decimal"/>
      <w:suff w:val="nothing"/>
      <w:lvlText w:val="%1、"/>
      <w:lvlJc w:val="left"/>
    </w:lvl>
  </w:abstractNum>
  <w:abstractNum w:abstractNumId="2">
    <w:nsid w:val="1BBBA6CF"/>
    <w:multiLevelType w:val="singleLevel"/>
    <w:tmpl w:val="1BBBA6CF"/>
    <w:lvl w:ilvl="0" w:tentative="0">
      <w:start w:val="2"/>
      <w:numFmt w:val="decimal"/>
      <w:suff w:val="nothing"/>
      <w:lvlText w:val="（%1）"/>
      <w:lvlJc w:val="left"/>
    </w:lvl>
  </w:abstractNum>
  <w:abstractNum w:abstractNumId="3">
    <w:nsid w:val="6A4B3442"/>
    <w:multiLevelType w:val="singleLevel"/>
    <w:tmpl w:val="6A4B3442"/>
    <w:lvl w:ilvl="0" w:tentative="0">
      <w:start w:val="5"/>
      <w:numFmt w:val="chineseCounting"/>
      <w:suff w:val="nothing"/>
      <w:lvlText w:val="%1、"/>
      <w:lvlJc w:val="left"/>
      <w:rPr>
        <w:rFonts w:hint="eastAsia"/>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bordersDoNotSurroundHeader w:val="0"/>
  <w:bordersDoNotSurroundFooter w:val="0"/>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4D8"/>
    <w:rsid w:val="00001553"/>
    <w:rsid w:val="0002477C"/>
    <w:rsid w:val="00040316"/>
    <w:rsid w:val="000467A4"/>
    <w:rsid w:val="00057D07"/>
    <w:rsid w:val="00094AA5"/>
    <w:rsid w:val="000A4F55"/>
    <w:rsid w:val="001054A6"/>
    <w:rsid w:val="00107FAD"/>
    <w:rsid w:val="00112069"/>
    <w:rsid w:val="0011210C"/>
    <w:rsid w:val="0011371B"/>
    <w:rsid w:val="00124127"/>
    <w:rsid w:val="0015332B"/>
    <w:rsid w:val="00180232"/>
    <w:rsid w:val="00190150"/>
    <w:rsid w:val="00235EE4"/>
    <w:rsid w:val="002449D0"/>
    <w:rsid w:val="002A00C5"/>
    <w:rsid w:val="002B3645"/>
    <w:rsid w:val="002F1A82"/>
    <w:rsid w:val="002F3E81"/>
    <w:rsid w:val="00311208"/>
    <w:rsid w:val="00316DD9"/>
    <w:rsid w:val="003262B4"/>
    <w:rsid w:val="00337A1E"/>
    <w:rsid w:val="00350C4E"/>
    <w:rsid w:val="003828D4"/>
    <w:rsid w:val="003831C1"/>
    <w:rsid w:val="003E4587"/>
    <w:rsid w:val="0040783A"/>
    <w:rsid w:val="0042391F"/>
    <w:rsid w:val="00450403"/>
    <w:rsid w:val="00463744"/>
    <w:rsid w:val="00467D73"/>
    <w:rsid w:val="00472F13"/>
    <w:rsid w:val="00487F2D"/>
    <w:rsid w:val="004B2DC1"/>
    <w:rsid w:val="004B4C2F"/>
    <w:rsid w:val="004F2AE4"/>
    <w:rsid w:val="005114DE"/>
    <w:rsid w:val="00516780"/>
    <w:rsid w:val="005D22C3"/>
    <w:rsid w:val="005E0FA0"/>
    <w:rsid w:val="005E5B4B"/>
    <w:rsid w:val="00606EAE"/>
    <w:rsid w:val="006557CF"/>
    <w:rsid w:val="006C0354"/>
    <w:rsid w:val="006E3E02"/>
    <w:rsid w:val="0070478B"/>
    <w:rsid w:val="00710251"/>
    <w:rsid w:val="00750094"/>
    <w:rsid w:val="00750402"/>
    <w:rsid w:val="007A6B1B"/>
    <w:rsid w:val="007C34A6"/>
    <w:rsid w:val="007D4EBF"/>
    <w:rsid w:val="007E5189"/>
    <w:rsid w:val="008537EF"/>
    <w:rsid w:val="008726B9"/>
    <w:rsid w:val="008772D5"/>
    <w:rsid w:val="008875DF"/>
    <w:rsid w:val="008B0C2E"/>
    <w:rsid w:val="008B0D0B"/>
    <w:rsid w:val="008B3355"/>
    <w:rsid w:val="008C7567"/>
    <w:rsid w:val="008E77A8"/>
    <w:rsid w:val="00913775"/>
    <w:rsid w:val="00944913"/>
    <w:rsid w:val="0099623D"/>
    <w:rsid w:val="00997DE6"/>
    <w:rsid w:val="009E500E"/>
    <w:rsid w:val="00A3549E"/>
    <w:rsid w:val="00A63783"/>
    <w:rsid w:val="00AA09D3"/>
    <w:rsid w:val="00AA5225"/>
    <w:rsid w:val="00B15FC5"/>
    <w:rsid w:val="00B4553B"/>
    <w:rsid w:val="00B55022"/>
    <w:rsid w:val="00B61A0D"/>
    <w:rsid w:val="00B838B5"/>
    <w:rsid w:val="00B95739"/>
    <w:rsid w:val="00BC27B0"/>
    <w:rsid w:val="00BC6BAD"/>
    <w:rsid w:val="00BD293E"/>
    <w:rsid w:val="00BD5A58"/>
    <w:rsid w:val="00BF3EC4"/>
    <w:rsid w:val="00BF42E5"/>
    <w:rsid w:val="00C17821"/>
    <w:rsid w:val="00C21B87"/>
    <w:rsid w:val="00C24112"/>
    <w:rsid w:val="00C37F78"/>
    <w:rsid w:val="00C40119"/>
    <w:rsid w:val="00C624D8"/>
    <w:rsid w:val="00C85F42"/>
    <w:rsid w:val="00CF447C"/>
    <w:rsid w:val="00CF5E8F"/>
    <w:rsid w:val="00D32743"/>
    <w:rsid w:val="00DC1421"/>
    <w:rsid w:val="00DC6D5A"/>
    <w:rsid w:val="00DD68C9"/>
    <w:rsid w:val="00DE7B2C"/>
    <w:rsid w:val="00E27BF7"/>
    <w:rsid w:val="00E5524F"/>
    <w:rsid w:val="00E7052B"/>
    <w:rsid w:val="00E90442"/>
    <w:rsid w:val="00ED20E2"/>
    <w:rsid w:val="00EE7133"/>
    <w:rsid w:val="00F056CA"/>
    <w:rsid w:val="00F34872"/>
    <w:rsid w:val="00F617B5"/>
    <w:rsid w:val="00F67804"/>
    <w:rsid w:val="00F860BA"/>
    <w:rsid w:val="00F97DEF"/>
    <w:rsid w:val="00FB62FD"/>
    <w:rsid w:val="00FF131B"/>
    <w:rsid w:val="01031CB4"/>
    <w:rsid w:val="01132519"/>
    <w:rsid w:val="0134437D"/>
    <w:rsid w:val="014E25D4"/>
    <w:rsid w:val="015779D2"/>
    <w:rsid w:val="0160223D"/>
    <w:rsid w:val="0178765E"/>
    <w:rsid w:val="01860A99"/>
    <w:rsid w:val="018E0202"/>
    <w:rsid w:val="0191014F"/>
    <w:rsid w:val="01934F78"/>
    <w:rsid w:val="019813AB"/>
    <w:rsid w:val="019B50E3"/>
    <w:rsid w:val="01B71803"/>
    <w:rsid w:val="01BA29B3"/>
    <w:rsid w:val="01BD5CA8"/>
    <w:rsid w:val="01C37E48"/>
    <w:rsid w:val="01ED5EF9"/>
    <w:rsid w:val="02101880"/>
    <w:rsid w:val="02154FAD"/>
    <w:rsid w:val="021B58D6"/>
    <w:rsid w:val="02293B80"/>
    <w:rsid w:val="024152D2"/>
    <w:rsid w:val="024332AD"/>
    <w:rsid w:val="02512588"/>
    <w:rsid w:val="025946AA"/>
    <w:rsid w:val="025C2679"/>
    <w:rsid w:val="026C470C"/>
    <w:rsid w:val="02756324"/>
    <w:rsid w:val="0277220B"/>
    <w:rsid w:val="02777AE7"/>
    <w:rsid w:val="02891AE8"/>
    <w:rsid w:val="029B673E"/>
    <w:rsid w:val="02AE378F"/>
    <w:rsid w:val="02BC6A26"/>
    <w:rsid w:val="02BE00D3"/>
    <w:rsid w:val="02D03210"/>
    <w:rsid w:val="02D16DCC"/>
    <w:rsid w:val="02D95ECD"/>
    <w:rsid w:val="02E610F3"/>
    <w:rsid w:val="02EC2E11"/>
    <w:rsid w:val="02EC5404"/>
    <w:rsid w:val="02F16CB5"/>
    <w:rsid w:val="030D5D6D"/>
    <w:rsid w:val="0311047C"/>
    <w:rsid w:val="031117E6"/>
    <w:rsid w:val="03211097"/>
    <w:rsid w:val="0327057A"/>
    <w:rsid w:val="032C2A07"/>
    <w:rsid w:val="033E3574"/>
    <w:rsid w:val="03416E9F"/>
    <w:rsid w:val="034333C9"/>
    <w:rsid w:val="034A7A31"/>
    <w:rsid w:val="034D6CC2"/>
    <w:rsid w:val="035360C6"/>
    <w:rsid w:val="03540617"/>
    <w:rsid w:val="035809E0"/>
    <w:rsid w:val="037569A8"/>
    <w:rsid w:val="03824C42"/>
    <w:rsid w:val="03967481"/>
    <w:rsid w:val="039C154F"/>
    <w:rsid w:val="039C2999"/>
    <w:rsid w:val="03B14ED8"/>
    <w:rsid w:val="03C03DC2"/>
    <w:rsid w:val="03C1265F"/>
    <w:rsid w:val="03E24670"/>
    <w:rsid w:val="03E31EC1"/>
    <w:rsid w:val="03E85AE9"/>
    <w:rsid w:val="03E96E2D"/>
    <w:rsid w:val="03EC5A74"/>
    <w:rsid w:val="03F55C5F"/>
    <w:rsid w:val="03F61082"/>
    <w:rsid w:val="03FF42B4"/>
    <w:rsid w:val="040075CF"/>
    <w:rsid w:val="0417315B"/>
    <w:rsid w:val="041823DE"/>
    <w:rsid w:val="042846E8"/>
    <w:rsid w:val="042B7F73"/>
    <w:rsid w:val="043308CF"/>
    <w:rsid w:val="043E2E06"/>
    <w:rsid w:val="044378E7"/>
    <w:rsid w:val="047231B5"/>
    <w:rsid w:val="047526F2"/>
    <w:rsid w:val="04753046"/>
    <w:rsid w:val="04753C8C"/>
    <w:rsid w:val="04766C81"/>
    <w:rsid w:val="047811B0"/>
    <w:rsid w:val="047813E8"/>
    <w:rsid w:val="04785A0E"/>
    <w:rsid w:val="048E1C38"/>
    <w:rsid w:val="04A02DC2"/>
    <w:rsid w:val="04A05235"/>
    <w:rsid w:val="04AF074C"/>
    <w:rsid w:val="04B711B3"/>
    <w:rsid w:val="04BB1DD9"/>
    <w:rsid w:val="04C15C61"/>
    <w:rsid w:val="04C84715"/>
    <w:rsid w:val="04D033B8"/>
    <w:rsid w:val="04E50BEB"/>
    <w:rsid w:val="04E70EBC"/>
    <w:rsid w:val="04F53CCC"/>
    <w:rsid w:val="04F639ED"/>
    <w:rsid w:val="04FE0680"/>
    <w:rsid w:val="050B158A"/>
    <w:rsid w:val="050E14C2"/>
    <w:rsid w:val="0518096A"/>
    <w:rsid w:val="051C6F77"/>
    <w:rsid w:val="051E34A4"/>
    <w:rsid w:val="054A28BA"/>
    <w:rsid w:val="0550416F"/>
    <w:rsid w:val="05530BE1"/>
    <w:rsid w:val="055972EA"/>
    <w:rsid w:val="055A64B7"/>
    <w:rsid w:val="056019AE"/>
    <w:rsid w:val="05626576"/>
    <w:rsid w:val="056B685A"/>
    <w:rsid w:val="05790DF2"/>
    <w:rsid w:val="058661D5"/>
    <w:rsid w:val="05893AA5"/>
    <w:rsid w:val="058E31E5"/>
    <w:rsid w:val="0596450A"/>
    <w:rsid w:val="05A55518"/>
    <w:rsid w:val="05AA55EA"/>
    <w:rsid w:val="05AD4D5A"/>
    <w:rsid w:val="05AF18B6"/>
    <w:rsid w:val="05B44B38"/>
    <w:rsid w:val="05C63269"/>
    <w:rsid w:val="05E75712"/>
    <w:rsid w:val="05EA5284"/>
    <w:rsid w:val="061A6DD7"/>
    <w:rsid w:val="062053A7"/>
    <w:rsid w:val="062E46CD"/>
    <w:rsid w:val="0630796A"/>
    <w:rsid w:val="06314B0C"/>
    <w:rsid w:val="063E1689"/>
    <w:rsid w:val="06517A4D"/>
    <w:rsid w:val="065D5556"/>
    <w:rsid w:val="066228C8"/>
    <w:rsid w:val="066618E2"/>
    <w:rsid w:val="066C36AB"/>
    <w:rsid w:val="06707942"/>
    <w:rsid w:val="067A28D9"/>
    <w:rsid w:val="067E632C"/>
    <w:rsid w:val="068A4A79"/>
    <w:rsid w:val="06A60DC3"/>
    <w:rsid w:val="06B17973"/>
    <w:rsid w:val="06C1285D"/>
    <w:rsid w:val="06CA4EAB"/>
    <w:rsid w:val="06CC1135"/>
    <w:rsid w:val="06DF3DC6"/>
    <w:rsid w:val="0701039D"/>
    <w:rsid w:val="0704614B"/>
    <w:rsid w:val="07072E74"/>
    <w:rsid w:val="070E68CC"/>
    <w:rsid w:val="071E5EE9"/>
    <w:rsid w:val="0722296E"/>
    <w:rsid w:val="0729658C"/>
    <w:rsid w:val="07333AFD"/>
    <w:rsid w:val="073A3DC5"/>
    <w:rsid w:val="073F5A61"/>
    <w:rsid w:val="0746740F"/>
    <w:rsid w:val="075D7A91"/>
    <w:rsid w:val="075E2796"/>
    <w:rsid w:val="0766628E"/>
    <w:rsid w:val="076E276E"/>
    <w:rsid w:val="07707DCA"/>
    <w:rsid w:val="07754F65"/>
    <w:rsid w:val="07755019"/>
    <w:rsid w:val="077D48AF"/>
    <w:rsid w:val="07801565"/>
    <w:rsid w:val="07805162"/>
    <w:rsid w:val="0780735F"/>
    <w:rsid w:val="0783692F"/>
    <w:rsid w:val="0784129E"/>
    <w:rsid w:val="078E696D"/>
    <w:rsid w:val="07944C5B"/>
    <w:rsid w:val="07974487"/>
    <w:rsid w:val="0798424D"/>
    <w:rsid w:val="079A4B3D"/>
    <w:rsid w:val="079E3E70"/>
    <w:rsid w:val="07A622D4"/>
    <w:rsid w:val="07AC757A"/>
    <w:rsid w:val="07B65D46"/>
    <w:rsid w:val="07B90675"/>
    <w:rsid w:val="07D12A01"/>
    <w:rsid w:val="07D224C9"/>
    <w:rsid w:val="07E045E7"/>
    <w:rsid w:val="07E1060A"/>
    <w:rsid w:val="07E13E10"/>
    <w:rsid w:val="07E3107F"/>
    <w:rsid w:val="07E53CA1"/>
    <w:rsid w:val="07ED1F21"/>
    <w:rsid w:val="07EE26FE"/>
    <w:rsid w:val="08187204"/>
    <w:rsid w:val="083A0F9A"/>
    <w:rsid w:val="084C40AC"/>
    <w:rsid w:val="08511138"/>
    <w:rsid w:val="085115B8"/>
    <w:rsid w:val="08581EAF"/>
    <w:rsid w:val="085A18BE"/>
    <w:rsid w:val="08611201"/>
    <w:rsid w:val="08647989"/>
    <w:rsid w:val="08666CC3"/>
    <w:rsid w:val="086D2C92"/>
    <w:rsid w:val="087249CD"/>
    <w:rsid w:val="087A01F3"/>
    <w:rsid w:val="087D4335"/>
    <w:rsid w:val="087F7DF5"/>
    <w:rsid w:val="08834DDD"/>
    <w:rsid w:val="08911B8E"/>
    <w:rsid w:val="08B62BB8"/>
    <w:rsid w:val="08BF6A48"/>
    <w:rsid w:val="08C971A9"/>
    <w:rsid w:val="08CC094F"/>
    <w:rsid w:val="08D64E73"/>
    <w:rsid w:val="08E727B3"/>
    <w:rsid w:val="08E81024"/>
    <w:rsid w:val="08F61AF4"/>
    <w:rsid w:val="09123C24"/>
    <w:rsid w:val="09165840"/>
    <w:rsid w:val="0932090C"/>
    <w:rsid w:val="093A588B"/>
    <w:rsid w:val="093C4080"/>
    <w:rsid w:val="094C5842"/>
    <w:rsid w:val="097408C2"/>
    <w:rsid w:val="09802C73"/>
    <w:rsid w:val="098B64F8"/>
    <w:rsid w:val="098C29B8"/>
    <w:rsid w:val="0998384B"/>
    <w:rsid w:val="099B6A17"/>
    <w:rsid w:val="09A95A67"/>
    <w:rsid w:val="09AE7DB4"/>
    <w:rsid w:val="09B404CD"/>
    <w:rsid w:val="09B82705"/>
    <w:rsid w:val="09D2556F"/>
    <w:rsid w:val="09E23759"/>
    <w:rsid w:val="09E71A72"/>
    <w:rsid w:val="09E95852"/>
    <w:rsid w:val="09FC3732"/>
    <w:rsid w:val="09FE4AEA"/>
    <w:rsid w:val="09FF02D6"/>
    <w:rsid w:val="0A04123C"/>
    <w:rsid w:val="0A14787D"/>
    <w:rsid w:val="0A1D1EEA"/>
    <w:rsid w:val="0A277E81"/>
    <w:rsid w:val="0A2B2C5B"/>
    <w:rsid w:val="0A38297D"/>
    <w:rsid w:val="0A400269"/>
    <w:rsid w:val="0A4F3824"/>
    <w:rsid w:val="0A5C09AE"/>
    <w:rsid w:val="0A6A7D70"/>
    <w:rsid w:val="0A746C76"/>
    <w:rsid w:val="0A7A3848"/>
    <w:rsid w:val="0A8F78DF"/>
    <w:rsid w:val="0A9401CF"/>
    <w:rsid w:val="0AA846F9"/>
    <w:rsid w:val="0AAA1B08"/>
    <w:rsid w:val="0AAC1E49"/>
    <w:rsid w:val="0AAF6F5E"/>
    <w:rsid w:val="0AB43A22"/>
    <w:rsid w:val="0AB970A2"/>
    <w:rsid w:val="0AC62FD7"/>
    <w:rsid w:val="0AC6314D"/>
    <w:rsid w:val="0AC82010"/>
    <w:rsid w:val="0ACB2AED"/>
    <w:rsid w:val="0ACC766B"/>
    <w:rsid w:val="0AD83D39"/>
    <w:rsid w:val="0ADE1D72"/>
    <w:rsid w:val="0AE83AA2"/>
    <w:rsid w:val="0AE86363"/>
    <w:rsid w:val="0B0138F6"/>
    <w:rsid w:val="0B0A0554"/>
    <w:rsid w:val="0B0C5825"/>
    <w:rsid w:val="0B211B23"/>
    <w:rsid w:val="0B22019A"/>
    <w:rsid w:val="0B227E47"/>
    <w:rsid w:val="0B292192"/>
    <w:rsid w:val="0B386964"/>
    <w:rsid w:val="0B4446C9"/>
    <w:rsid w:val="0B501A7F"/>
    <w:rsid w:val="0B673538"/>
    <w:rsid w:val="0B6C4900"/>
    <w:rsid w:val="0B7E5548"/>
    <w:rsid w:val="0B846447"/>
    <w:rsid w:val="0B847737"/>
    <w:rsid w:val="0B9406C6"/>
    <w:rsid w:val="0B952597"/>
    <w:rsid w:val="0B984C70"/>
    <w:rsid w:val="0B9C341B"/>
    <w:rsid w:val="0BA64C90"/>
    <w:rsid w:val="0BD028BA"/>
    <w:rsid w:val="0BDF36B7"/>
    <w:rsid w:val="0BEB747B"/>
    <w:rsid w:val="0BEF346A"/>
    <w:rsid w:val="0BF31A39"/>
    <w:rsid w:val="0C0E3667"/>
    <w:rsid w:val="0C1A67E5"/>
    <w:rsid w:val="0C2A55C6"/>
    <w:rsid w:val="0C35292E"/>
    <w:rsid w:val="0C3A3D38"/>
    <w:rsid w:val="0C5C42D1"/>
    <w:rsid w:val="0C5D2B9D"/>
    <w:rsid w:val="0C6E575A"/>
    <w:rsid w:val="0C783E5E"/>
    <w:rsid w:val="0C7B5808"/>
    <w:rsid w:val="0C7F4819"/>
    <w:rsid w:val="0C824C2D"/>
    <w:rsid w:val="0C8D05F4"/>
    <w:rsid w:val="0C8F1727"/>
    <w:rsid w:val="0CA14E7E"/>
    <w:rsid w:val="0CAB6A8B"/>
    <w:rsid w:val="0CAF347F"/>
    <w:rsid w:val="0CB04861"/>
    <w:rsid w:val="0CB13983"/>
    <w:rsid w:val="0CC80833"/>
    <w:rsid w:val="0CCD52C2"/>
    <w:rsid w:val="0CDC6FC2"/>
    <w:rsid w:val="0CDF0C6E"/>
    <w:rsid w:val="0CE65D56"/>
    <w:rsid w:val="0CED7EF0"/>
    <w:rsid w:val="0CF22588"/>
    <w:rsid w:val="0D0F5C61"/>
    <w:rsid w:val="0D21478E"/>
    <w:rsid w:val="0D2A541D"/>
    <w:rsid w:val="0D2C4EEA"/>
    <w:rsid w:val="0D2E285E"/>
    <w:rsid w:val="0D40039F"/>
    <w:rsid w:val="0D50524E"/>
    <w:rsid w:val="0D591EF8"/>
    <w:rsid w:val="0D5A63EE"/>
    <w:rsid w:val="0D722D0B"/>
    <w:rsid w:val="0D723BCA"/>
    <w:rsid w:val="0D7268BB"/>
    <w:rsid w:val="0DA42B86"/>
    <w:rsid w:val="0DB43209"/>
    <w:rsid w:val="0DB55CE0"/>
    <w:rsid w:val="0DBB0EB8"/>
    <w:rsid w:val="0DC8477E"/>
    <w:rsid w:val="0DD84E0B"/>
    <w:rsid w:val="0DDB6109"/>
    <w:rsid w:val="0DE47670"/>
    <w:rsid w:val="0DE939CC"/>
    <w:rsid w:val="0DEB2DA2"/>
    <w:rsid w:val="0DED04FA"/>
    <w:rsid w:val="0DFE3F26"/>
    <w:rsid w:val="0E0E4695"/>
    <w:rsid w:val="0E1251BB"/>
    <w:rsid w:val="0E2B4FA6"/>
    <w:rsid w:val="0E366F3A"/>
    <w:rsid w:val="0E3E0F0C"/>
    <w:rsid w:val="0E3F4DBF"/>
    <w:rsid w:val="0E5110C2"/>
    <w:rsid w:val="0E5337ED"/>
    <w:rsid w:val="0E553A44"/>
    <w:rsid w:val="0E5E3E9C"/>
    <w:rsid w:val="0E62252F"/>
    <w:rsid w:val="0E664FB1"/>
    <w:rsid w:val="0E683CD7"/>
    <w:rsid w:val="0E68513F"/>
    <w:rsid w:val="0E6F1E85"/>
    <w:rsid w:val="0E7744E5"/>
    <w:rsid w:val="0E7B5515"/>
    <w:rsid w:val="0E8731B7"/>
    <w:rsid w:val="0E90047C"/>
    <w:rsid w:val="0E963A9C"/>
    <w:rsid w:val="0E994ECD"/>
    <w:rsid w:val="0EA30B7E"/>
    <w:rsid w:val="0EAD57D7"/>
    <w:rsid w:val="0EAF3B9D"/>
    <w:rsid w:val="0EB466E2"/>
    <w:rsid w:val="0EB83C99"/>
    <w:rsid w:val="0EB869A9"/>
    <w:rsid w:val="0EBF346A"/>
    <w:rsid w:val="0EC855E1"/>
    <w:rsid w:val="0ECA0DFE"/>
    <w:rsid w:val="0ECB7C5E"/>
    <w:rsid w:val="0ED32B7F"/>
    <w:rsid w:val="0EF03B7D"/>
    <w:rsid w:val="0EF453D0"/>
    <w:rsid w:val="0EF77263"/>
    <w:rsid w:val="0F1E2984"/>
    <w:rsid w:val="0F286C66"/>
    <w:rsid w:val="0F380588"/>
    <w:rsid w:val="0F3A2E12"/>
    <w:rsid w:val="0F3E7912"/>
    <w:rsid w:val="0F4571D4"/>
    <w:rsid w:val="0F497007"/>
    <w:rsid w:val="0F524344"/>
    <w:rsid w:val="0F711A3B"/>
    <w:rsid w:val="0F741218"/>
    <w:rsid w:val="0F7B7292"/>
    <w:rsid w:val="0F877E67"/>
    <w:rsid w:val="0F8F0F52"/>
    <w:rsid w:val="0F933CB0"/>
    <w:rsid w:val="0F970C6B"/>
    <w:rsid w:val="0F9763F3"/>
    <w:rsid w:val="0FB434CB"/>
    <w:rsid w:val="0FBD6309"/>
    <w:rsid w:val="0FBD695D"/>
    <w:rsid w:val="0FC135CE"/>
    <w:rsid w:val="0FC82AF5"/>
    <w:rsid w:val="0FD255C6"/>
    <w:rsid w:val="0FD53F88"/>
    <w:rsid w:val="0FDF08D3"/>
    <w:rsid w:val="0FE130AA"/>
    <w:rsid w:val="0FE15071"/>
    <w:rsid w:val="0FE673F7"/>
    <w:rsid w:val="0FF241B1"/>
    <w:rsid w:val="0FF241CE"/>
    <w:rsid w:val="0FF2615C"/>
    <w:rsid w:val="100362CB"/>
    <w:rsid w:val="100D03DE"/>
    <w:rsid w:val="100D04D9"/>
    <w:rsid w:val="100F5793"/>
    <w:rsid w:val="10243FD1"/>
    <w:rsid w:val="102551A6"/>
    <w:rsid w:val="1036137C"/>
    <w:rsid w:val="10383CBB"/>
    <w:rsid w:val="10403A59"/>
    <w:rsid w:val="10417C4D"/>
    <w:rsid w:val="105B3D24"/>
    <w:rsid w:val="10606096"/>
    <w:rsid w:val="10777D39"/>
    <w:rsid w:val="10852A9D"/>
    <w:rsid w:val="10AB1CAE"/>
    <w:rsid w:val="10AD78D6"/>
    <w:rsid w:val="10B077DE"/>
    <w:rsid w:val="10B141B4"/>
    <w:rsid w:val="10B43689"/>
    <w:rsid w:val="10C60945"/>
    <w:rsid w:val="10D37DD7"/>
    <w:rsid w:val="10D432DA"/>
    <w:rsid w:val="10DB606D"/>
    <w:rsid w:val="10DD62D6"/>
    <w:rsid w:val="10E651AB"/>
    <w:rsid w:val="10EF2DF8"/>
    <w:rsid w:val="10EF768C"/>
    <w:rsid w:val="10F1240D"/>
    <w:rsid w:val="10F1471E"/>
    <w:rsid w:val="10F62836"/>
    <w:rsid w:val="10F669D0"/>
    <w:rsid w:val="11014418"/>
    <w:rsid w:val="110A5386"/>
    <w:rsid w:val="1119002F"/>
    <w:rsid w:val="11221F1B"/>
    <w:rsid w:val="1137071F"/>
    <w:rsid w:val="11390F86"/>
    <w:rsid w:val="1140581C"/>
    <w:rsid w:val="114734E7"/>
    <w:rsid w:val="114E42AE"/>
    <w:rsid w:val="11554362"/>
    <w:rsid w:val="116137D4"/>
    <w:rsid w:val="11631BB3"/>
    <w:rsid w:val="11687C69"/>
    <w:rsid w:val="1171109D"/>
    <w:rsid w:val="11770443"/>
    <w:rsid w:val="11787B51"/>
    <w:rsid w:val="118714DF"/>
    <w:rsid w:val="118862FE"/>
    <w:rsid w:val="118F0133"/>
    <w:rsid w:val="11A715F2"/>
    <w:rsid w:val="11AB6185"/>
    <w:rsid w:val="11AC0D09"/>
    <w:rsid w:val="11AC7E83"/>
    <w:rsid w:val="11AE6B3A"/>
    <w:rsid w:val="11B009CC"/>
    <w:rsid w:val="11B25739"/>
    <w:rsid w:val="11B430B3"/>
    <w:rsid w:val="11BB1304"/>
    <w:rsid w:val="11C8232C"/>
    <w:rsid w:val="11CD68C7"/>
    <w:rsid w:val="11D35331"/>
    <w:rsid w:val="11DE4FF2"/>
    <w:rsid w:val="11EC5C11"/>
    <w:rsid w:val="11F8157F"/>
    <w:rsid w:val="1207516F"/>
    <w:rsid w:val="120F29E0"/>
    <w:rsid w:val="121277F3"/>
    <w:rsid w:val="121D0988"/>
    <w:rsid w:val="12306EA3"/>
    <w:rsid w:val="12372BB3"/>
    <w:rsid w:val="1238206E"/>
    <w:rsid w:val="123D4E2A"/>
    <w:rsid w:val="12534407"/>
    <w:rsid w:val="1256667C"/>
    <w:rsid w:val="12623A33"/>
    <w:rsid w:val="12675F10"/>
    <w:rsid w:val="128961AC"/>
    <w:rsid w:val="12A158DB"/>
    <w:rsid w:val="12BB16C4"/>
    <w:rsid w:val="12BB582A"/>
    <w:rsid w:val="12E7083E"/>
    <w:rsid w:val="12EE6F05"/>
    <w:rsid w:val="12F01D19"/>
    <w:rsid w:val="12F41084"/>
    <w:rsid w:val="12F72F47"/>
    <w:rsid w:val="12FD7D3B"/>
    <w:rsid w:val="13017267"/>
    <w:rsid w:val="130371B5"/>
    <w:rsid w:val="13041381"/>
    <w:rsid w:val="13134150"/>
    <w:rsid w:val="13136AAB"/>
    <w:rsid w:val="131A6710"/>
    <w:rsid w:val="1332292D"/>
    <w:rsid w:val="134618FF"/>
    <w:rsid w:val="1346539E"/>
    <w:rsid w:val="134E16FD"/>
    <w:rsid w:val="13546892"/>
    <w:rsid w:val="136178EC"/>
    <w:rsid w:val="136A09C5"/>
    <w:rsid w:val="136A52F0"/>
    <w:rsid w:val="138C518C"/>
    <w:rsid w:val="138D03FC"/>
    <w:rsid w:val="13AB66BE"/>
    <w:rsid w:val="13B86A73"/>
    <w:rsid w:val="13B95CC6"/>
    <w:rsid w:val="13C32AF8"/>
    <w:rsid w:val="13C618CA"/>
    <w:rsid w:val="13CE77CE"/>
    <w:rsid w:val="13CE7B7B"/>
    <w:rsid w:val="13EE77DA"/>
    <w:rsid w:val="13F52DB8"/>
    <w:rsid w:val="13F80354"/>
    <w:rsid w:val="13F962AB"/>
    <w:rsid w:val="140D22C1"/>
    <w:rsid w:val="141036E2"/>
    <w:rsid w:val="1419088A"/>
    <w:rsid w:val="141B25E7"/>
    <w:rsid w:val="14322B2F"/>
    <w:rsid w:val="14357C62"/>
    <w:rsid w:val="143E50C6"/>
    <w:rsid w:val="14423B52"/>
    <w:rsid w:val="144D77B1"/>
    <w:rsid w:val="145066E8"/>
    <w:rsid w:val="145A079E"/>
    <w:rsid w:val="14642445"/>
    <w:rsid w:val="14651DBD"/>
    <w:rsid w:val="147621DE"/>
    <w:rsid w:val="148C233E"/>
    <w:rsid w:val="148E11DC"/>
    <w:rsid w:val="14B22DEF"/>
    <w:rsid w:val="14C071A2"/>
    <w:rsid w:val="14C55A67"/>
    <w:rsid w:val="14CD54FF"/>
    <w:rsid w:val="14D15D15"/>
    <w:rsid w:val="14D3415C"/>
    <w:rsid w:val="14D74549"/>
    <w:rsid w:val="14F7568D"/>
    <w:rsid w:val="1509489E"/>
    <w:rsid w:val="150A7BDC"/>
    <w:rsid w:val="150E2BA1"/>
    <w:rsid w:val="15113B29"/>
    <w:rsid w:val="1514355B"/>
    <w:rsid w:val="151F3360"/>
    <w:rsid w:val="152053AD"/>
    <w:rsid w:val="1522104E"/>
    <w:rsid w:val="153E495C"/>
    <w:rsid w:val="15406CCA"/>
    <w:rsid w:val="154D1C05"/>
    <w:rsid w:val="155744B1"/>
    <w:rsid w:val="155E6DD5"/>
    <w:rsid w:val="15614FD7"/>
    <w:rsid w:val="156A3B78"/>
    <w:rsid w:val="158171A2"/>
    <w:rsid w:val="15834A2B"/>
    <w:rsid w:val="158530A1"/>
    <w:rsid w:val="15866EC6"/>
    <w:rsid w:val="158B43A9"/>
    <w:rsid w:val="158C157A"/>
    <w:rsid w:val="15A81DD2"/>
    <w:rsid w:val="15AD0420"/>
    <w:rsid w:val="15B256E6"/>
    <w:rsid w:val="15B45A48"/>
    <w:rsid w:val="15B55F60"/>
    <w:rsid w:val="15B638EF"/>
    <w:rsid w:val="15C3108E"/>
    <w:rsid w:val="15DA5F38"/>
    <w:rsid w:val="15E12CD0"/>
    <w:rsid w:val="15E45E9E"/>
    <w:rsid w:val="15EE1734"/>
    <w:rsid w:val="161437AC"/>
    <w:rsid w:val="1616543F"/>
    <w:rsid w:val="1619646B"/>
    <w:rsid w:val="161F2390"/>
    <w:rsid w:val="161F2903"/>
    <w:rsid w:val="16317BAB"/>
    <w:rsid w:val="16322D02"/>
    <w:rsid w:val="16327F35"/>
    <w:rsid w:val="163533FE"/>
    <w:rsid w:val="16441319"/>
    <w:rsid w:val="164A0994"/>
    <w:rsid w:val="16746770"/>
    <w:rsid w:val="16796573"/>
    <w:rsid w:val="1685622A"/>
    <w:rsid w:val="168C2966"/>
    <w:rsid w:val="168E7D5F"/>
    <w:rsid w:val="169071DC"/>
    <w:rsid w:val="169D7846"/>
    <w:rsid w:val="16A10E42"/>
    <w:rsid w:val="16A14E38"/>
    <w:rsid w:val="16A41B7E"/>
    <w:rsid w:val="16A80A0C"/>
    <w:rsid w:val="16AD7E16"/>
    <w:rsid w:val="16C64E86"/>
    <w:rsid w:val="16C72BDD"/>
    <w:rsid w:val="16CE2E71"/>
    <w:rsid w:val="16D401EB"/>
    <w:rsid w:val="16E24F1D"/>
    <w:rsid w:val="16EF38E4"/>
    <w:rsid w:val="16EF4DBB"/>
    <w:rsid w:val="16F41927"/>
    <w:rsid w:val="16F93840"/>
    <w:rsid w:val="170369E5"/>
    <w:rsid w:val="1705072B"/>
    <w:rsid w:val="170B6D6B"/>
    <w:rsid w:val="170E2336"/>
    <w:rsid w:val="171B22CC"/>
    <w:rsid w:val="171C1922"/>
    <w:rsid w:val="17244321"/>
    <w:rsid w:val="17264626"/>
    <w:rsid w:val="172B4B5A"/>
    <w:rsid w:val="173503D8"/>
    <w:rsid w:val="173545AF"/>
    <w:rsid w:val="17363059"/>
    <w:rsid w:val="173904D4"/>
    <w:rsid w:val="17393CE7"/>
    <w:rsid w:val="1752564D"/>
    <w:rsid w:val="175737DC"/>
    <w:rsid w:val="17590009"/>
    <w:rsid w:val="17625F02"/>
    <w:rsid w:val="1768590F"/>
    <w:rsid w:val="176D7013"/>
    <w:rsid w:val="17717A08"/>
    <w:rsid w:val="1774645F"/>
    <w:rsid w:val="177F6F6C"/>
    <w:rsid w:val="178005A3"/>
    <w:rsid w:val="178113EC"/>
    <w:rsid w:val="17846330"/>
    <w:rsid w:val="178B0DD1"/>
    <w:rsid w:val="178F06C9"/>
    <w:rsid w:val="17921520"/>
    <w:rsid w:val="17A5461A"/>
    <w:rsid w:val="17AC249A"/>
    <w:rsid w:val="17AE6613"/>
    <w:rsid w:val="17B27341"/>
    <w:rsid w:val="17B372B5"/>
    <w:rsid w:val="17B91FAA"/>
    <w:rsid w:val="17BD7402"/>
    <w:rsid w:val="17C16A1D"/>
    <w:rsid w:val="17C75E1A"/>
    <w:rsid w:val="17DC74CB"/>
    <w:rsid w:val="17DE2202"/>
    <w:rsid w:val="17DE2358"/>
    <w:rsid w:val="17E21C25"/>
    <w:rsid w:val="18081178"/>
    <w:rsid w:val="181F20E1"/>
    <w:rsid w:val="18206A88"/>
    <w:rsid w:val="18251A11"/>
    <w:rsid w:val="18257661"/>
    <w:rsid w:val="18295C0A"/>
    <w:rsid w:val="1829739E"/>
    <w:rsid w:val="18306A4C"/>
    <w:rsid w:val="1835463A"/>
    <w:rsid w:val="1846637D"/>
    <w:rsid w:val="186648CD"/>
    <w:rsid w:val="18696E11"/>
    <w:rsid w:val="1872584F"/>
    <w:rsid w:val="187A4721"/>
    <w:rsid w:val="187E5B38"/>
    <w:rsid w:val="1882075E"/>
    <w:rsid w:val="189A723F"/>
    <w:rsid w:val="189C7872"/>
    <w:rsid w:val="18A12685"/>
    <w:rsid w:val="18A60E7C"/>
    <w:rsid w:val="18AC3287"/>
    <w:rsid w:val="18BB09E1"/>
    <w:rsid w:val="18BF4275"/>
    <w:rsid w:val="18C106DD"/>
    <w:rsid w:val="18CD1D6D"/>
    <w:rsid w:val="18DD5209"/>
    <w:rsid w:val="18F23714"/>
    <w:rsid w:val="18F94923"/>
    <w:rsid w:val="18FA318A"/>
    <w:rsid w:val="18FB43BF"/>
    <w:rsid w:val="18FB66A0"/>
    <w:rsid w:val="18FB7154"/>
    <w:rsid w:val="18FE51FA"/>
    <w:rsid w:val="19117136"/>
    <w:rsid w:val="193069D4"/>
    <w:rsid w:val="194905ED"/>
    <w:rsid w:val="194F5A44"/>
    <w:rsid w:val="19537649"/>
    <w:rsid w:val="195B3DB5"/>
    <w:rsid w:val="195C4803"/>
    <w:rsid w:val="1973741D"/>
    <w:rsid w:val="198D3CB8"/>
    <w:rsid w:val="1992418B"/>
    <w:rsid w:val="19937DA5"/>
    <w:rsid w:val="19BD3F59"/>
    <w:rsid w:val="19C51D5E"/>
    <w:rsid w:val="19C72300"/>
    <w:rsid w:val="19D01DEF"/>
    <w:rsid w:val="19D7426A"/>
    <w:rsid w:val="19D81119"/>
    <w:rsid w:val="19F87B2D"/>
    <w:rsid w:val="19F95771"/>
    <w:rsid w:val="19FB5F8D"/>
    <w:rsid w:val="1A144DD7"/>
    <w:rsid w:val="1A192B82"/>
    <w:rsid w:val="1A1E7E8A"/>
    <w:rsid w:val="1A2453CF"/>
    <w:rsid w:val="1A2B077E"/>
    <w:rsid w:val="1A34670B"/>
    <w:rsid w:val="1A4852EC"/>
    <w:rsid w:val="1A54685B"/>
    <w:rsid w:val="1A574B5D"/>
    <w:rsid w:val="1A5E5AAA"/>
    <w:rsid w:val="1A621D96"/>
    <w:rsid w:val="1A642320"/>
    <w:rsid w:val="1A6801FD"/>
    <w:rsid w:val="1A774D6C"/>
    <w:rsid w:val="1A8457E9"/>
    <w:rsid w:val="1A9253AB"/>
    <w:rsid w:val="1A95144A"/>
    <w:rsid w:val="1AA018B2"/>
    <w:rsid w:val="1AAD767B"/>
    <w:rsid w:val="1ABA46CB"/>
    <w:rsid w:val="1AC5405A"/>
    <w:rsid w:val="1AD071BE"/>
    <w:rsid w:val="1ADB49A8"/>
    <w:rsid w:val="1AF12907"/>
    <w:rsid w:val="1AFE7229"/>
    <w:rsid w:val="1AFE7F12"/>
    <w:rsid w:val="1B003F61"/>
    <w:rsid w:val="1B1601E9"/>
    <w:rsid w:val="1B1A3B03"/>
    <w:rsid w:val="1B2A3480"/>
    <w:rsid w:val="1B332831"/>
    <w:rsid w:val="1B4C2EEF"/>
    <w:rsid w:val="1B507832"/>
    <w:rsid w:val="1B5A149C"/>
    <w:rsid w:val="1B5A68C3"/>
    <w:rsid w:val="1B5B245A"/>
    <w:rsid w:val="1B5C7B16"/>
    <w:rsid w:val="1B5E66F1"/>
    <w:rsid w:val="1B6A5EEF"/>
    <w:rsid w:val="1B726C71"/>
    <w:rsid w:val="1B727175"/>
    <w:rsid w:val="1B73330B"/>
    <w:rsid w:val="1B924535"/>
    <w:rsid w:val="1B970761"/>
    <w:rsid w:val="1B976F7C"/>
    <w:rsid w:val="1BBE6F6F"/>
    <w:rsid w:val="1BC9138A"/>
    <w:rsid w:val="1BCA5A3E"/>
    <w:rsid w:val="1BD42D15"/>
    <w:rsid w:val="1BD74578"/>
    <w:rsid w:val="1BDB0EE9"/>
    <w:rsid w:val="1BDF3120"/>
    <w:rsid w:val="1BDF3FD0"/>
    <w:rsid w:val="1BE0502C"/>
    <w:rsid w:val="1BE329FD"/>
    <w:rsid w:val="1BEA6302"/>
    <w:rsid w:val="1BEB1CEE"/>
    <w:rsid w:val="1BF367EF"/>
    <w:rsid w:val="1C001D2F"/>
    <w:rsid w:val="1C044762"/>
    <w:rsid w:val="1C1D2353"/>
    <w:rsid w:val="1C1E0134"/>
    <w:rsid w:val="1C2340E7"/>
    <w:rsid w:val="1C243090"/>
    <w:rsid w:val="1C2C5E25"/>
    <w:rsid w:val="1C3B1347"/>
    <w:rsid w:val="1C3E37EE"/>
    <w:rsid w:val="1C465F1E"/>
    <w:rsid w:val="1C5279AC"/>
    <w:rsid w:val="1C536C44"/>
    <w:rsid w:val="1C631868"/>
    <w:rsid w:val="1C803F1F"/>
    <w:rsid w:val="1C834C98"/>
    <w:rsid w:val="1C845AFF"/>
    <w:rsid w:val="1C885F0D"/>
    <w:rsid w:val="1C890AFE"/>
    <w:rsid w:val="1C9B2E1E"/>
    <w:rsid w:val="1C9D306B"/>
    <w:rsid w:val="1CA46A9B"/>
    <w:rsid w:val="1CA612E3"/>
    <w:rsid w:val="1CA645A5"/>
    <w:rsid w:val="1CB428E3"/>
    <w:rsid w:val="1CB8047D"/>
    <w:rsid w:val="1CC44FC9"/>
    <w:rsid w:val="1CC45A1B"/>
    <w:rsid w:val="1CC62DB7"/>
    <w:rsid w:val="1CCF510F"/>
    <w:rsid w:val="1CD13EAE"/>
    <w:rsid w:val="1CF20D1B"/>
    <w:rsid w:val="1CF311B7"/>
    <w:rsid w:val="1CF85FD4"/>
    <w:rsid w:val="1CFD1346"/>
    <w:rsid w:val="1D0502EA"/>
    <w:rsid w:val="1D074305"/>
    <w:rsid w:val="1D0862D0"/>
    <w:rsid w:val="1D204E6A"/>
    <w:rsid w:val="1D32708D"/>
    <w:rsid w:val="1D3776C1"/>
    <w:rsid w:val="1D47763E"/>
    <w:rsid w:val="1D573302"/>
    <w:rsid w:val="1D583D73"/>
    <w:rsid w:val="1D5E5578"/>
    <w:rsid w:val="1D7220F2"/>
    <w:rsid w:val="1D74341C"/>
    <w:rsid w:val="1D745CA3"/>
    <w:rsid w:val="1D79518D"/>
    <w:rsid w:val="1D8E59DC"/>
    <w:rsid w:val="1D9F67F2"/>
    <w:rsid w:val="1DAE6BCF"/>
    <w:rsid w:val="1DB06746"/>
    <w:rsid w:val="1DC17634"/>
    <w:rsid w:val="1DC421E9"/>
    <w:rsid w:val="1DC72B00"/>
    <w:rsid w:val="1DE06867"/>
    <w:rsid w:val="1DE162F1"/>
    <w:rsid w:val="1DE857E9"/>
    <w:rsid w:val="1DEC197C"/>
    <w:rsid w:val="1DFE30C6"/>
    <w:rsid w:val="1E0723AC"/>
    <w:rsid w:val="1E097742"/>
    <w:rsid w:val="1E13729C"/>
    <w:rsid w:val="1E1F3BAD"/>
    <w:rsid w:val="1E227BC3"/>
    <w:rsid w:val="1E246071"/>
    <w:rsid w:val="1E264B4F"/>
    <w:rsid w:val="1E292C8A"/>
    <w:rsid w:val="1E2A7ABA"/>
    <w:rsid w:val="1E30657F"/>
    <w:rsid w:val="1E306FFD"/>
    <w:rsid w:val="1E3E1316"/>
    <w:rsid w:val="1E3F74CF"/>
    <w:rsid w:val="1E4B70CF"/>
    <w:rsid w:val="1E5805E1"/>
    <w:rsid w:val="1E5836E8"/>
    <w:rsid w:val="1E6051E6"/>
    <w:rsid w:val="1E73030E"/>
    <w:rsid w:val="1E745CA6"/>
    <w:rsid w:val="1E801FF8"/>
    <w:rsid w:val="1E897446"/>
    <w:rsid w:val="1E91305D"/>
    <w:rsid w:val="1E9339DE"/>
    <w:rsid w:val="1E964361"/>
    <w:rsid w:val="1E973EF7"/>
    <w:rsid w:val="1E9839BC"/>
    <w:rsid w:val="1EAC2129"/>
    <w:rsid w:val="1EB355C6"/>
    <w:rsid w:val="1ECB3FC7"/>
    <w:rsid w:val="1EDD4662"/>
    <w:rsid w:val="1EE50075"/>
    <w:rsid w:val="1EEA34B3"/>
    <w:rsid w:val="1EF07867"/>
    <w:rsid w:val="1EF24849"/>
    <w:rsid w:val="1EFF4237"/>
    <w:rsid w:val="1F0C0B41"/>
    <w:rsid w:val="1F0C3212"/>
    <w:rsid w:val="1F1C23F0"/>
    <w:rsid w:val="1F2038E1"/>
    <w:rsid w:val="1F31250A"/>
    <w:rsid w:val="1F336B3F"/>
    <w:rsid w:val="1F346890"/>
    <w:rsid w:val="1F3E2736"/>
    <w:rsid w:val="1F417F69"/>
    <w:rsid w:val="1F4B3242"/>
    <w:rsid w:val="1F5213AB"/>
    <w:rsid w:val="1F530CC1"/>
    <w:rsid w:val="1F5C5359"/>
    <w:rsid w:val="1F765137"/>
    <w:rsid w:val="1F7C6724"/>
    <w:rsid w:val="1F842FBA"/>
    <w:rsid w:val="1F8E51B8"/>
    <w:rsid w:val="1F931926"/>
    <w:rsid w:val="1FA62135"/>
    <w:rsid w:val="1FAB6751"/>
    <w:rsid w:val="1FAC4066"/>
    <w:rsid w:val="1FAE1CC5"/>
    <w:rsid w:val="1FB2192A"/>
    <w:rsid w:val="1FB41588"/>
    <w:rsid w:val="1FC707B5"/>
    <w:rsid w:val="1FDD195B"/>
    <w:rsid w:val="1FDF6808"/>
    <w:rsid w:val="1FF829DF"/>
    <w:rsid w:val="20045B8E"/>
    <w:rsid w:val="20066418"/>
    <w:rsid w:val="20163AFF"/>
    <w:rsid w:val="202E32A3"/>
    <w:rsid w:val="202E6579"/>
    <w:rsid w:val="203D06D8"/>
    <w:rsid w:val="204B61F8"/>
    <w:rsid w:val="2055170E"/>
    <w:rsid w:val="20603A6D"/>
    <w:rsid w:val="20616FE9"/>
    <w:rsid w:val="20690BF2"/>
    <w:rsid w:val="206F2F3B"/>
    <w:rsid w:val="207A1CC3"/>
    <w:rsid w:val="208518D0"/>
    <w:rsid w:val="209C4231"/>
    <w:rsid w:val="20B472E7"/>
    <w:rsid w:val="20BC647F"/>
    <w:rsid w:val="20BF2DB5"/>
    <w:rsid w:val="20C23B8A"/>
    <w:rsid w:val="20CD612C"/>
    <w:rsid w:val="20D36CA6"/>
    <w:rsid w:val="20DC03B9"/>
    <w:rsid w:val="20DE20E7"/>
    <w:rsid w:val="20ED6C70"/>
    <w:rsid w:val="20EE10DD"/>
    <w:rsid w:val="20F26E61"/>
    <w:rsid w:val="20F50D3A"/>
    <w:rsid w:val="20F93DBB"/>
    <w:rsid w:val="20FD3061"/>
    <w:rsid w:val="21004495"/>
    <w:rsid w:val="21037AC7"/>
    <w:rsid w:val="21101738"/>
    <w:rsid w:val="2111060A"/>
    <w:rsid w:val="21282D24"/>
    <w:rsid w:val="21351511"/>
    <w:rsid w:val="21394AAC"/>
    <w:rsid w:val="213A1A48"/>
    <w:rsid w:val="213D467F"/>
    <w:rsid w:val="214109D7"/>
    <w:rsid w:val="21520215"/>
    <w:rsid w:val="216006C0"/>
    <w:rsid w:val="216337FF"/>
    <w:rsid w:val="2167129F"/>
    <w:rsid w:val="21685DA2"/>
    <w:rsid w:val="216943CA"/>
    <w:rsid w:val="216D41D3"/>
    <w:rsid w:val="216D6728"/>
    <w:rsid w:val="21776E70"/>
    <w:rsid w:val="21851574"/>
    <w:rsid w:val="218E0D1A"/>
    <w:rsid w:val="218F43DE"/>
    <w:rsid w:val="219132B0"/>
    <w:rsid w:val="21956136"/>
    <w:rsid w:val="21973A69"/>
    <w:rsid w:val="219B2B62"/>
    <w:rsid w:val="219E7770"/>
    <w:rsid w:val="21A552D0"/>
    <w:rsid w:val="21AD1816"/>
    <w:rsid w:val="21C21459"/>
    <w:rsid w:val="21CB26F7"/>
    <w:rsid w:val="21D1062B"/>
    <w:rsid w:val="21D446D4"/>
    <w:rsid w:val="21D80473"/>
    <w:rsid w:val="21E32113"/>
    <w:rsid w:val="21E36D01"/>
    <w:rsid w:val="21E93B13"/>
    <w:rsid w:val="21EB6651"/>
    <w:rsid w:val="21F1179D"/>
    <w:rsid w:val="21FE3B8C"/>
    <w:rsid w:val="22003045"/>
    <w:rsid w:val="22070E65"/>
    <w:rsid w:val="221C6D7B"/>
    <w:rsid w:val="22386C29"/>
    <w:rsid w:val="22476EC7"/>
    <w:rsid w:val="22574A18"/>
    <w:rsid w:val="2265437D"/>
    <w:rsid w:val="22705062"/>
    <w:rsid w:val="2272003C"/>
    <w:rsid w:val="22812D7E"/>
    <w:rsid w:val="228841AB"/>
    <w:rsid w:val="228D6022"/>
    <w:rsid w:val="228E3998"/>
    <w:rsid w:val="229D30A6"/>
    <w:rsid w:val="22A5674D"/>
    <w:rsid w:val="22B32E08"/>
    <w:rsid w:val="22B3385E"/>
    <w:rsid w:val="22BC7119"/>
    <w:rsid w:val="22C57E6A"/>
    <w:rsid w:val="22C81906"/>
    <w:rsid w:val="22C92AB7"/>
    <w:rsid w:val="22D675FC"/>
    <w:rsid w:val="22F2260F"/>
    <w:rsid w:val="22F95617"/>
    <w:rsid w:val="22FF2738"/>
    <w:rsid w:val="230E77A7"/>
    <w:rsid w:val="230F7F57"/>
    <w:rsid w:val="2329273A"/>
    <w:rsid w:val="23356A53"/>
    <w:rsid w:val="23376C49"/>
    <w:rsid w:val="233F6D30"/>
    <w:rsid w:val="234C06E5"/>
    <w:rsid w:val="234D65EA"/>
    <w:rsid w:val="235B3EE8"/>
    <w:rsid w:val="235E1B4A"/>
    <w:rsid w:val="23625FDE"/>
    <w:rsid w:val="23635655"/>
    <w:rsid w:val="236B159D"/>
    <w:rsid w:val="236E0FD8"/>
    <w:rsid w:val="237376BB"/>
    <w:rsid w:val="237C2B7F"/>
    <w:rsid w:val="237D0EF5"/>
    <w:rsid w:val="23990AAD"/>
    <w:rsid w:val="239A7727"/>
    <w:rsid w:val="23A65409"/>
    <w:rsid w:val="23A80E85"/>
    <w:rsid w:val="23AF016F"/>
    <w:rsid w:val="23B00B0A"/>
    <w:rsid w:val="23B35FB4"/>
    <w:rsid w:val="23B428F3"/>
    <w:rsid w:val="23BB4D2D"/>
    <w:rsid w:val="23BE4512"/>
    <w:rsid w:val="23C84AB5"/>
    <w:rsid w:val="23C97FBE"/>
    <w:rsid w:val="23CB3334"/>
    <w:rsid w:val="23E30F2A"/>
    <w:rsid w:val="23E96DA2"/>
    <w:rsid w:val="23F624E7"/>
    <w:rsid w:val="240253DA"/>
    <w:rsid w:val="24040D31"/>
    <w:rsid w:val="241C5FB1"/>
    <w:rsid w:val="24241521"/>
    <w:rsid w:val="24254C3A"/>
    <w:rsid w:val="24543832"/>
    <w:rsid w:val="245973A4"/>
    <w:rsid w:val="247668F4"/>
    <w:rsid w:val="24880427"/>
    <w:rsid w:val="2497357C"/>
    <w:rsid w:val="24A44BE8"/>
    <w:rsid w:val="24AC43C4"/>
    <w:rsid w:val="24B60D18"/>
    <w:rsid w:val="24B86C96"/>
    <w:rsid w:val="24C667A1"/>
    <w:rsid w:val="24D1510B"/>
    <w:rsid w:val="24DE4A8A"/>
    <w:rsid w:val="24E14DBD"/>
    <w:rsid w:val="24E52603"/>
    <w:rsid w:val="24FC19BE"/>
    <w:rsid w:val="25017BD2"/>
    <w:rsid w:val="25030D1F"/>
    <w:rsid w:val="250D512B"/>
    <w:rsid w:val="250D7D13"/>
    <w:rsid w:val="251826BA"/>
    <w:rsid w:val="2532445A"/>
    <w:rsid w:val="25432078"/>
    <w:rsid w:val="254A76CD"/>
    <w:rsid w:val="254B2FAD"/>
    <w:rsid w:val="255E3C90"/>
    <w:rsid w:val="255F065A"/>
    <w:rsid w:val="25653825"/>
    <w:rsid w:val="25690394"/>
    <w:rsid w:val="25826D2B"/>
    <w:rsid w:val="25850B02"/>
    <w:rsid w:val="258E3ACA"/>
    <w:rsid w:val="2598648B"/>
    <w:rsid w:val="259F3319"/>
    <w:rsid w:val="25A54136"/>
    <w:rsid w:val="25D06839"/>
    <w:rsid w:val="25D9557D"/>
    <w:rsid w:val="25E02377"/>
    <w:rsid w:val="25E72D83"/>
    <w:rsid w:val="25FA53A3"/>
    <w:rsid w:val="25FC0417"/>
    <w:rsid w:val="260A10B4"/>
    <w:rsid w:val="26116D5B"/>
    <w:rsid w:val="261F525D"/>
    <w:rsid w:val="262E02A1"/>
    <w:rsid w:val="263D4DAC"/>
    <w:rsid w:val="26472801"/>
    <w:rsid w:val="264C0A56"/>
    <w:rsid w:val="26526AF0"/>
    <w:rsid w:val="26535217"/>
    <w:rsid w:val="265465F2"/>
    <w:rsid w:val="26550F1F"/>
    <w:rsid w:val="265B3A02"/>
    <w:rsid w:val="265B5E19"/>
    <w:rsid w:val="26760769"/>
    <w:rsid w:val="267E49D4"/>
    <w:rsid w:val="267F33FF"/>
    <w:rsid w:val="26823FBF"/>
    <w:rsid w:val="268329F5"/>
    <w:rsid w:val="26836CE2"/>
    <w:rsid w:val="2683750C"/>
    <w:rsid w:val="268A6CB4"/>
    <w:rsid w:val="268D7A8E"/>
    <w:rsid w:val="26A93D75"/>
    <w:rsid w:val="26AB0A82"/>
    <w:rsid w:val="26AB536E"/>
    <w:rsid w:val="26AC47D9"/>
    <w:rsid w:val="26AD08B4"/>
    <w:rsid w:val="26B14755"/>
    <w:rsid w:val="26B40643"/>
    <w:rsid w:val="26B47EF0"/>
    <w:rsid w:val="26BB33FD"/>
    <w:rsid w:val="26C46A3F"/>
    <w:rsid w:val="26CC1BDC"/>
    <w:rsid w:val="26CD2730"/>
    <w:rsid w:val="26CF5AE9"/>
    <w:rsid w:val="26D54A8F"/>
    <w:rsid w:val="26D7684B"/>
    <w:rsid w:val="26E020CB"/>
    <w:rsid w:val="26EA4850"/>
    <w:rsid w:val="26EE2727"/>
    <w:rsid w:val="26F1618E"/>
    <w:rsid w:val="26F44C6B"/>
    <w:rsid w:val="26FB262D"/>
    <w:rsid w:val="27034DA3"/>
    <w:rsid w:val="271307B7"/>
    <w:rsid w:val="27155C79"/>
    <w:rsid w:val="272320F7"/>
    <w:rsid w:val="27377C8F"/>
    <w:rsid w:val="274D2A2F"/>
    <w:rsid w:val="27556799"/>
    <w:rsid w:val="276839AA"/>
    <w:rsid w:val="27765E98"/>
    <w:rsid w:val="27770F7F"/>
    <w:rsid w:val="278108DF"/>
    <w:rsid w:val="278C43AD"/>
    <w:rsid w:val="278D3979"/>
    <w:rsid w:val="27922728"/>
    <w:rsid w:val="27954C04"/>
    <w:rsid w:val="279C4736"/>
    <w:rsid w:val="279F7AC6"/>
    <w:rsid w:val="27A04FE9"/>
    <w:rsid w:val="27A7519C"/>
    <w:rsid w:val="27B85117"/>
    <w:rsid w:val="27B852E2"/>
    <w:rsid w:val="27C13C54"/>
    <w:rsid w:val="27D663D6"/>
    <w:rsid w:val="27DA4CB2"/>
    <w:rsid w:val="27DF0770"/>
    <w:rsid w:val="280B7E77"/>
    <w:rsid w:val="280C2143"/>
    <w:rsid w:val="280E21A8"/>
    <w:rsid w:val="28147009"/>
    <w:rsid w:val="2836338A"/>
    <w:rsid w:val="283A7B8B"/>
    <w:rsid w:val="283B6B62"/>
    <w:rsid w:val="28653A65"/>
    <w:rsid w:val="287676E6"/>
    <w:rsid w:val="287D14D6"/>
    <w:rsid w:val="287F2ADE"/>
    <w:rsid w:val="28901AD6"/>
    <w:rsid w:val="289D2AAB"/>
    <w:rsid w:val="28A26A3B"/>
    <w:rsid w:val="28A71D94"/>
    <w:rsid w:val="28B11868"/>
    <w:rsid w:val="28B77CCF"/>
    <w:rsid w:val="28BA194A"/>
    <w:rsid w:val="28BD489D"/>
    <w:rsid w:val="28BD59DC"/>
    <w:rsid w:val="28BF25FF"/>
    <w:rsid w:val="28E52B8B"/>
    <w:rsid w:val="28E8060C"/>
    <w:rsid w:val="28EB71B4"/>
    <w:rsid w:val="28EC3009"/>
    <w:rsid w:val="28EE193B"/>
    <w:rsid w:val="28F6773A"/>
    <w:rsid w:val="290472B6"/>
    <w:rsid w:val="2905144A"/>
    <w:rsid w:val="290912E3"/>
    <w:rsid w:val="2917008A"/>
    <w:rsid w:val="29203858"/>
    <w:rsid w:val="293161D0"/>
    <w:rsid w:val="29485CF5"/>
    <w:rsid w:val="294A07BB"/>
    <w:rsid w:val="29527A4A"/>
    <w:rsid w:val="295710EE"/>
    <w:rsid w:val="295873FB"/>
    <w:rsid w:val="29737847"/>
    <w:rsid w:val="297A4980"/>
    <w:rsid w:val="298762BA"/>
    <w:rsid w:val="299600F7"/>
    <w:rsid w:val="29971DC2"/>
    <w:rsid w:val="29A6116F"/>
    <w:rsid w:val="29AB1793"/>
    <w:rsid w:val="29B0363B"/>
    <w:rsid w:val="29B07BD6"/>
    <w:rsid w:val="29B7568D"/>
    <w:rsid w:val="29C15268"/>
    <w:rsid w:val="29C70AB9"/>
    <w:rsid w:val="29D8310B"/>
    <w:rsid w:val="29DC30E8"/>
    <w:rsid w:val="29DE00D9"/>
    <w:rsid w:val="29E83998"/>
    <w:rsid w:val="29FA045A"/>
    <w:rsid w:val="2A0336B7"/>
    <w:rsid w:val="2A093B1D"/>
    <w:rsid w:val="2A0F1960"/>
    <w:rsid w:val="2A13206C"/>
    <w:rsid w:val="2A140517"/>
    <w:rsid w:val="2A26575C"/>
    <w:rsid w:val="2A325692"/>
    <w:rsid w:val="2A355037"/>
    <w:rsid w:val="2A3F5197"/>
    <w:rsid w:val="2A440DCE"/>
    <w:rsid w:val="2A4F7397"/>
    <w:rsid w:val="2A6216D7"/>
    <w:rsid w:val="2A6716A8"/>
    <w:rsid w:val="2A7107DF"/>
    <w:rsid w:val="2A730E0C"/>
    <w:rsid w:val="2A7D78D4"/>
    <w:rsid w:val="2A8135E2"/>
    <w:rsid w:val="2AA52EA5"/>
    <w:rsid w:val="2AA855DD"/>
    <w:rsid w:val="2AAA384A"/>
    <w:rsid w:val="2AAC7134"/>
    <w:rsid w:val="2AB62DC4"/>
    <w:rsid w:val="2AB83ED9"/>
    <w:rsid w:val="2AC27671"/>
    <w:rsid w:val="2AC70AB8"/>
    <w:rsid w:val="2AD17A91"/>
    <w:rsid w:val="2ADA1622"/>
    <w:rsid w:val="2ADE4528"/>
    <w:rsid w:val="2AE21771"/>
    <w:rsid w:val="2AED037A"/>
    <w:rsid w:val="2AF04731"/>
    <w:rsid w:val="2B0F7A4F"/>
    <w:rsid w:val="2B187E1E"/>
    <w:rsid w:val="2B21591D"/>
    <w:rsid w:val="2B3B1697"/>
    <w:rsid w:val="2B485FDF"/>
    <w:rsid w:val="2B570FA8"/>
    <w:rsid w:val="2B5D5B4C"/>
    <w:rsid w:val="2B675145"/>
    <w:rsid w:val="2B9222CF"/>
    <w:rsid w:val="2B955594"/>
    <w:rsid w:val="2B9A7A73"/>
    <w:rsid w:val="2B9D43CF"/>
    <w:rsid w:val="2BA2396D"/>
    <w:rsid w:val="2BA24517"/>
    <w:rsid w:val="2BBB46B5"/>
    <w:rsid w:val="2BC64C70"/>
    <w:rsid w:val="2BC75D67"/>
    <w:rsid w:val="2BC91FD8"/>
    <w:rsid w:val="2BCC218F"/>
    <w:rsid w:val="2BE65F73"/>
    <w:rsid w:val="2BF32B13"/>
    <w:rsid w:val="2BF76A21"/>
    <w:rsid w:val="2C1C2928"/>
    <w:rsid w:val="2C235597"/>
    <w:rsid w:val="2C3A50DE"/>
    <w:rsid w:val="2C3D498D"/>
    <w:rsid w:val="2C3F2C24"/>
    <w:rsid w:val="2C4245F3"/>
    <w:rsid w:val="2C503590"/>
    <w:rsid w:val="2C5213CF"/>
    <w:rsid w:val="2C685BD2"/>
    <w:rsid w:val="2C755049"/>
    <w:rsid w:val="2C792177"/>
    <w:rsid w:val="2C8765F4"/>
    <w:rsid w:val="2C8C04EB"/>
    <w:rsid w:val="2C8F0639"/>
    <w:rsid w:val="2C962C72"/>
    <w:rsid w:val="2C9A0B9E"/>
    <w:rsid w:val="2C9F2B68"/>
    <w:rsid w:val="2CA75B81"/>
    <w:rsid w:val="2CBE4B9C"/>
    <w:rsid w:val="2CC34E64"/>
    <w:rsid w:val="2CC803A8"/>
    <w:rsid w:val="2CCE32F1"/>
    <w:rsid w:val="2CCF0007"/>
    <w:rsid w:val="2CD132CA"/>
    <w:rsid w:val="2CD9428E"/>
    <w:rsid w:val="2CF212C0"/>
    <w:rsid w:val="2CF57E33"/>
    <w:rsid w:val="2D020E8A"/>
    <w:rsid w:val="2D177CCF"/>
    <w:rsid w:val="2D1902E2"/>
    <w:rsid w:val="2D1A33DC"/>
    <w:rsid w:val="2D2636C2"/>
    <w:rsid w:val="2D3A1EDB"/>
    <w:rsid w:val="2D3D7081"/>
    <w:rsid w:val="2D453B1E"/>
    <w:rsid w:val="2D4C4FFA"/>
    <w:rsid w:val="2D4F1D9C"/>
    <w:rsid w:val="2D543284"/>
    <w:rsid w:val="2D5A2761"/>
    <w:rsid w:val="2D805B4B"/>
    <w:rsid w:val="2D864389"/>
    <w:rsid w:val="2D8933E0"/>
    <w:rsid w:val="2D8C36EE"/>
    <w:rsid w:val="2D9C2294"/>
    <w:rsid w:val="2DA77BFC"/>
    <w:rsid w:val="2DB64381"/>
    <w:rsid w:val="2DC32EC4"/>
    <w:rsid w:val="2DCB4002"/>
    <w:rsid w:val="2DD3135D"/>
    <w:rsid w:val="2DD93111"/>
    <w:rsid w:val="2DEB212B"/>
    <w:rsid w:val="2DFE58DD"/>
    <w:rsid w:val="2E0521BC"/>
    <w:rsid w:val="2E060870"/>
    <w:rsid w:val="2E1D0F09"/>
    <w:rsid w:val="2E344DC4"/>
    <w:rsid w:val="2E4A0662"/>
    <w:rsid w:val="2E5C0624"/>
    <w:rsid w:val="2E755BCA"/>
    <w:rsid w:val="2E7E5CA9"/>
    <w:rsid w:val="2E7F06EC"/>
    <w:rsid w:val="2E8A0D78"/>
    <w:rsid w:val="2E8A3E6A"/>
    <w:rsid w:val="2E8F70A3"/>
    <w:rsid w:val="2E930F10"/>
    <w:rsid w:val="2E94664D"/>
    <w:rsid w:val="2E9619ED"/>
    <w:rsid w:val="2E97011C"/>
    <w:rsid w:val="2E9C7336"/>
    <w:rsid w:val="2E9E73D3"/>
    <w:rsid w:val="2EAA0D53"/>
    <w:rsid w:val="2EAE546D"/>
    <w:rsid w:val="2EB32598"/>
    <w:rsid w:val="2EB44CBC"/>
    <w:rsid w:val="2EB828E1"/>
    <w:rsid w:val="2EBA1C91"/>
    <w:rsid w:val="2ECA249E"/>
    <w:rsid w:val="2ECF17A6"/>
    <w:rsid w:val="2ED51DFE"/>
    <w:rsid w:val="2EDB5C21"/>
    <w:rsid w:val="2EDD5126"/>
    <w:rsid w:val="2EE0205A"/>
    <w:rsid w:val="2EE04C64"/>
    <w:rsid w:val="2EF12466"/>
    <w:rsid w:val="2EF64A72"/>
    <w:rsid w:val="2EFC286F"/>
    <w:rsid w:val="2F003FC2"/>
    <w:rsid w:val="2F047C4A"/>
    <w:rsid w:val="2F110A2A"/>
    <w:rsid w:val="2F154362"/>
    <w:rsid w:val="2F184FAE"/>
    <w:rsid w:val="2F1F39CA"/>
    <w:rsid w:val="2F237E15"/>
    <w:rsid w:val="2F257687"/>
    <w:rsid w:val="2F2D013A"/>
    <w:rsid w:val="2F3019EC"/>
    <w:rsid w:val="2F3716B2"/>
    <w:rsid w:val="2F3774D1"/>
    <w:rsid w:val="2F385062"/>
    <w:rsid w:val="2F4B4A38"/>
    <w:rsid w:val="2F4C4A0B"/>
    <w:rsid w:val="2F4E30EE"/>
    <w:rsid w:val="2F552649"/>
    <w:rsid w:val="2F5802F2"/>
    <w:rsid w:val="2F596594"/>
    <w:rsid w:val="2F725EBE"/>
    <w:rsid w:val="2F7625B8"/>
    <w:rsid w:val="2F7A7CA1"/>
    <w:rsid w:val="2F8702EB"/>
    <w:rsid w:val="2F8A6988"/>
    <w:rsid w:val="2F972162"/>
    <w:rsid w:val="2F9905B7"/>
    <w:rsid w:val="2FA53776"/>
    <w:rsid w:val="2FA74090"/>
    <w:rsid w:val="2FB2601B"/>
    <w:rsid w:val="2FDB3ADB"/>
    <w:rsid w:val="2FDE6EB1"/>
    <w:rsid w:val="2FF32815"/>
    <w:rsid w:val="30096484"/>
    <w:rsid w:val="300A4E42"/>
    <w:rsid w:val="3016687A"/>
    <w:rsid w:val="301B4F34"/>
    <w:rsid w:val="30222D27"/>
    <w:rsid w:val="30280172"/>
    <w:rsid w:val="302C2689"/>
    <w:rsid w:val="302C30C1"/>
    <w:rsid w:val="30345D0C"/>
    <w:rsid w:val="30423C39"/>
    <w:rsid w:val="304D5E8E"/>
    <w:rsid w:val="305876E0"/>
    <w:rsid w:val="30684D10"/>
    <w:rsid w:val="306A2FCC"/>
    <w:rsid w:val="307C6A22"/>
    <w:rsid w:val="307D66E1"/>
    <w:rsid w:val="3080760A"/>
    <w:rsid w:val="3084143C"/>
    <w:rsid w:val="308A5FF6"/>
    <w:rsid w:val="308B3EDC"/>
    <w:rsid w:val="308D08B6"/>
    <w:rsid w:val="309B3290"/>
    <w:rsid w:val="309E001F"/>
    <w:rsid w:val="309E768D"/>
    <w:rsid w:val="30A33EEE"/>
    <w:rsid w:val="30AE3A92"/>
    <w:rsid w:val="30B70A4A"/>
    <w:rsid w:val="30C029E1"/>
    <w:rsid w:val="30C6331F"/>
    <w:rsid w:val="30DB71FF"/>
    <w:rsid w:val="30DC485C"/>
    <w:rsid w:val="30E6002F"/>
    <w:rsid w:val="30EF6614"/>
    <w:rsid w:val="31195536"/>
    <w:rsid w:val="311F6006"/>
    <w:rsid w:val="31237814"/>
    <w:rsid w:val="312A1635"/>
    <w:rsid w:val="312C104D"/>
    <w:rsid w:val="31314C94"/>
    <w:rsid w:val="31326FDA"/>
    <w:rsid w:val="31335FA9"/>
    <w:rsid w:val="3135018C"/>
    <w:rsid w:val="31353BFF"/>
    <w:rsid w:val="31552C65"/>
    <w:rsid w:val="31567866"/>
    <w:rsid w:val="31693FC0"/>
    <w:rsid w:val="317F5310"/>
    <w:rsid w:val="31896E0E"/>
    <w:rsid w:val="318D5BF6"/>
    <w:rsid w:val="318E697E"/>
    <w:rsid w:val="3199444F"/>
    <w:rsid w:val="31AA1CE9"/>
    <w:rsid w:val="31AB392C"/>
    <w:rsid w:val="31C94296"/>
    <w:rsid w:val="31D15833"/>
    <w:rsid w:val="31D66CEF"/>
    <w:rsid w:val="31E06E10"/>
    <w:rsid w:val="31E67F1B"/>
    <w:rsid w:val="31F866E5"/>
    <w:rsid w:val="320435BB"/>
    <w:rsid w:val="32132FC2"/>
    <w:rsid w:val="321347CD"/>
    <w:rsid w:val="3218564A"/>
    <w:rsid w:val="321D3E6D"/>
    <w:rsid w:val="322B736E"/>
    <w:rsid w:val="32330445"/>
    <w:rsid w:val="323F7A58"/>
    <w:rsid w:val="32424AA7"/>
    <w:rsid w:val="324264AD"/>
    <w:rsid w:val="32433139"/>
    <w:rsid w:val="324B1B21"/>
    <w:rsid w:val="32597A22"/>
    <w:rsid w:val="32604F9D"/>
    <w:rsid w:val="32637367"/>
    <w:rsid w:val="326C37BC"/>
    <w:rsid w:val="32707EB6"/>
    <w:rsid w:val="328153EA"/>
    <w:rsid w:val="328241E2"/>
    <w:rsid w:val="328479FE"/>
    <w:rsid w:val="32850840"/>
    <w:rsid w:val="32890FC6"/>
    <w:rsid w:val="32943153"/>
    <w:rsid w:val="32961223"/>
    <w:rsid w:val="32A028E7"/>
    <w:rsid w:val="32A4086E"/>
    <w:rsid w:val="32A74EF2"/>
    <w:rsid w:val="32AE5C5E"/>
    <w:rsid w:val="32BE1A7B"/>
    <w:rsid w:val="32BE52B6"/>
    <w:rsid w:val="32C934F7"/>
    <w:rsid w:val="32CA225E"/>
    <w:rsid w:val="32CD2F4A"/>
    <w:rsid w:val="32D83546"/>
    <w:rsid w:val="32DE4808"/>
    <w:rsid w:val="32E11A3E"/>
    <w:rsid w:val="32E7447E"/>
    <w:rsid w:val="32FB7C7B"/>
    <w:rsid w:val="33006479"/>
    <w:rsid w:val="33032DCC"/>
    <w:rsid w:val="33072163"/>
    <w:rsid w:val="33086569"/>
    <w:rsid w:val="330E412C"/>
    <w:rsid w:val="330F05DB"/>
    <w:rsid w:val="3318363D"/>
    <w:rsid w:val="331D50C4"/>
    <w:rsid w:val="3327272D"/>
    <w:rsid w:val="332F63B6"/>
    <w:rsid w:val="334250D1"/>
    <w:rsid w:val="33510BAA"/>
    <w:rsid w:val="33602744"/>
    <w:rsid w:val="336032F3"/>
    <w:rsid w:val="33614230"/>
    <w:rsid w:val="336A286D"/>
    <w:rsid w:val="336E7667"/>
    <w:rsid w:val="336F3F5A"/>
    <w:rsid w:val="33712997"/>
    <w:rsid w:val="33762323"/>
    <w:rsid w:val="33811E14"/>
    <w:rsid w:val="33874FB9"/>
    <w:rsid w:val="338B11D0"/>
    <w:rsid w:val="338B5D18"/>
    <w:rsid w:val="338C7D6C"/>
    <w:rsid w:val="33A440FD"/>
    <w:rsid w:val="33A971D8"/>
    <w:rsid w:val="33AA342C"/>
    <w:rsid w:val="33BA2686"/>
    <w:rsid w:val="33C8599D"/>
    <w:rsid w:val="33D16E2C"/>
    <w:rsid w:val="33EE3109"/>
    <w:rsid w:val="33EF5C4B"/>
    <w:rsid w:val="340B246E"/>
    <w:rsid w:val="341B147B"/>
    <w:rsid w:val="34223EC5"/>
    <w:rsid w:val="34234257"/>
    <w:rsid w:val="3424260F"/>
    <w:rsid w:val="342A3097"/>
    <w:rsid w:val="342C0253"/>
    <w:rsid w:val="342E729D"/>
    <w:rsid w:val="344D1366"/>
    <w:rsid w:val="34505835"/>
    <w:rsid w:val="34523E92"/>
    <w:rsid w:val="345B07CF"/>
    <w:rsid w:val="345B26F2"/>
    <w:rsid w:val="346000DE"/>
    <w:rsid w:val="34702C82"/>
    <w:rsid w:val="34755A60"/>
    <w:rsid w:val="347D13AF"/>
    <w:rsid w:val="347E6EC8"/>
    <w:rsid w:val="348561BF"/>
    <w:rsid w:val="34A746C6"/>
    <w:rsid w:val="34C46350"/>
    <w:rsid w:val="34CF7E94"/>
    <w:rsid w:val="34D31A45"/>
    <w:rsid w:val="34F1203B"/>
    <w:rsid w:val="34F308A9"/>
    <w:rsid w:val="34F6284D"/>
    <w:rsid w:val="35021E0A"/>
    <w:rsid w:val="35051332"/>
    <w:rsid w:val="3509200E"/>
    <w:rsid w:val="350E2895"/>
    <w:rsid w:val="3519078B"/>
    <w:rsid w:val="351F284A"/>
    <w:rsid w:val="35233D34"/>
    <w:rsid w:val="352951C6"/>
    <w:rsid w:val="352F037B"/>
    <w:rsid w:val="35346D1D"/>
    <w:rsid w:val="353952CA"/>
    <w:rsid w:val="353B41A7"/>
    <w:rsid w:val="35471856"/>
    <w:rsid w:val="354F14CD"/>
    <w:rsid w:val="35654687"/>
    <w:rsid w:val="356633D2"/>
    <w:rsid w:val="357E60C1"/>
    <w:rsid w:val="357F5A6C"/>
    <w:rsid w:val="35816540"/>
    <w:rsid w:val="358F6855"/>
    <w:rsid w:val="3595392E"/>
    <w:rsid w:val="35A04E3E"/>
    <w:rsid w:val="35A24588"/>
    <w:rsid w:val="35A47414"/>
    <w:rsid w:val="35A8712C"/>
    <w:rsid w:val="35A936D9"/>
    <w:rsid w:val="35A97D10"/>
    <w:rsid w:val="35B46207"/>
    <w:rsid w:val="35B52D1B"/>
    <w:rsid w:val="35BC7D7B"/>
    <w:rsid w:val="35CB2238"/>
    <w:rsid w:val="35CE261B"/>
    <w:rsid w:val="35E75431"/>
    <w:rsid w:val="35EA3EF9"/>
    <w:rsid w:val="35EB30DE"/>
    <w:rsid w:val="35F03FBC"/>
    <w:rsid w:val="35F70C73"/>
    <w:rsid w:val="35FD05A4"/>
    <w:rsid w:val="3605037E"/>
    <w:rsid w:val="3607144D"/>
    <w:rsid w:val="36196E0B"/>
    <w:rsid w:val="361D11CE"/>
    <w:rsid w:val="36280D93"/>
    <w:rsid w:val="36296795"/>
    <w:rsid w:val="362A6C11"/>
    <w:rsid w:val="362E56BB"/>
    <w:rsid w:val="364149ED"/>
    <w:rsid w:val="36457598"/>
    <w:rsid w:val="3647375D"/>
    <w:rsid w:val="364A2F50"/>
    <w:rsid w:val="364C1ACD"/>
    <w:rsid w:val="36565C6E"/>
    <w:rsid w:val="365B15BD"/>
    <w:rsid w:val="365C19A8"/>
    <w:rsid w:val="366C0A30"/>
    <w:rsid w:val="366F77F8"/>
    <w:rsid w:val="36775016"/>
    <w:rsid w:val="36873FBD"/>
    <w:rsid w:val="368A0499"/>
    <w:rsid w:val="368B797E"/>
    <w:rsid w:val="368F2C40"/>
    <w:rsid w:val="368F57F6"/>
    <w:rsid w:val="3691624C"/>
    <w:rsid w:val="36954955"/>
    <w:rsid w:val="36AF7542"/>
    <w:rsid w:val="36B22785"/>
    <w:rsid w:val="36B83592"/>
    <w:rsid w:val="36DF3475"/>
    <w:rsid w:val="36E801AE"/>
    <w:rsid w:val="36EA5CB0"/>
    <w:rsid w:val="36EC7BC8"/>
    <w:rsid w:val="36F22E83"/>
    <w:rsid w:val="36F40FB7"/>
    <w:rsid w:val="36F750C4"/>
    <w:rsid w:val="36F84485"/>
    <w:rsid w:val="36FF5F63"/>
    <w:rsid w:val="37052135"/>
    <w:rsid w:val="370C61CA"/>
    <w:rsid w:val="37135C01"/>
    <w:rsid w:val="371643F7"/>
    <w:rsid w:val="37164F45"/>
    <w:rsid w:val="372A48AF"/>
    <w:rsid w:val="372C749A"/>
    <w:rsid w:val="3732639F"/>
    <w:rsid w:val="37385F28"/>
    <w:rsid w:val="373A6DD6"/>
    <w:rsid w:val="373D5E49"/>
    <w:rsid w:val="373E2717"/>
    <w:rsid w:val="374D291B"/>
    <w:rsid w:val="375B608E"/>
    <w:rsid w:val="37783F43"/>
    <w:rsid w:val="37795EB1"/>
    <w:rsid w:val="377E7835"/>
    <w:rsid w:val="378E11E4"/>
    <w:rsid w:val="379B15B4"/>
    <w:rsid w:val="379E57AD"/>
    <w:rsid w:val="37A156C4"/>
    <w:rsid w:val="37AC075F"/>
    <w:rsid w:val="37B83688"/>
    <w:rsid w:val="37BA690A"/>
    <w:rsid w:val="37CD64CA"/>
    <w:rsid w:val="37D74AE9"/>
    <w:rsid w:val="37D960AF"/>
    <w:rsid w:val="37DE1D8F"/>
    <w:rsid w:val="37DE366C"/>
    <w:rsid w:val="37DF5057"/>
    <w:rsid w:val="37E1564D"/>
    <w:rsid w:val="37E427DC"/>
    <w:rsid w:val="37F24C0C"/>
    <w:rsid w:val="38015E45"/>
    <w:rsid w:val="38042125"/>
    <w:rsid w:val="380719A9"/>
    <w:rsid w:val="381E7A31"/>
    <w:rsid w:val="382C5076"/>
    <w:rsid w:val="383465A1"/>
    <w:rsid w:val="3847770E"/>
    <w:rsid w:val="384A4B51"/>
    <w:rsid w:val="385976E4"/>
    <w:rsid w:val="3861555B"/>
    <w:rsid w:val="387D2530"/>
    <w:rsid w:val="387E506B"/>
    <w:rsid w:val="387F16B7"/>
    <w:rsid w:val="38855B44"/>
    <w:rsid w:val="388768AD"/>
    <w:rsid w:val="3888170B"/>
    <w:rsid w:val="388C5D89"/>
    <w:rsid w:val="38920B9B"/>
    <w:rsid w:val="38A165E0"/>
    <w:rsid w:val="38AB511C"/>
    <w:rsid w:val="38AE13B4"/>
    <w:rsid w:val="38AF198C"/>
    <w:rsid w:val="38B714FD"/>
    <w:rsid w:val="38B87668"/>
    <w:rsid w:val="38C0646A"/>
    <w:rsid w:val="38CD610C"/>
    <w:rsid w:val="38D652DD"/>
    <w:rsid w:val="38DE13B6"/>
    <w:rsid w:val="39106315"/>
    <w:rsid w:val="39215202"/>
    <w:rsid w:val="39257F6E"/>
    <w:rsid w:val="392F5F80"/>
    <w:rsid w:val="393D4AAB"/>
    <w:rsid w:val="393D657E"/>
    <w:rsid w:val="39480983"/>
    <w:rsid w:val="394B2FE2"/>
    <w:rsid w:val="394B3772"/>
    <w:rsid w:val="396115FF"/>
    <w:rsid w:val="39671595"/>
    <w:rsid w:val="396B1477"/>
    <w:rsid w:val="396D0EB1"/>
    <w:rsid w:val="396D5FC3"/>
    <w:rsid w:val="397210E1"/>
    <w:rsid w:val="3978083A"/>
    <w:rsid w:val="397A442F"/>
    <w:rsid w:val="39925FB0"/>
    <w:rsid w:val="39967331"/>
    <w:rsid w:val="399D4463"/>
    <w:rsid w:val="39A4672B"/>
    <w:rsid w:val="39A6463B"/>
    <w:rsid w:val="39AA294E"/>
    <w:rsid w:val="39B631D2"/>
    <w:rsid w:val="39C63186"/>
    <w:rsid w:val="39E24F3D"/>
    <w:rsid w:val="3A0071B7"/>
    <w:rsid w:val="3A017132"/>
    <w:rsid w:val="3A0271B5"/>
    <w:rsid w:val="3A230FE1"/>
    <w:rsid w:val="3A26432F"/>
    <w:rsid w:val="3A3422A4"/>
    <w:rsid w:val="3A396909"/>
    <w:rsid w:val="3A430A6D"/>
    <w:rsid w:val="3A463B3C"/>
    <w:rsid w:val="3A495E21"/>
    <w:rsid w:val="3A4A08B8"/>
    <w:rsid w:val="3A5B52C6"/>
    <w:rsid w:val="3A635BA6"/>
    <w:rsid w:val="3A67049C"/>
    <w:rsid w:val="3A6A00FA"/>
    <w:rsid w:val="3A7660A6"/>
    <w:rsid w:val="3A8C2928"/>
    <w:rsid w:val="3A9009F2"/>
    <w:rsid w:val="3A9139D4"/>
    <w:rsid w:val="3A96263F"/>
    <w:rsid w:val="3A964D7B"/>
    <w:rsid w:val="3AA408F7"/>
    <w:rsid w:val="3AA425E2"/>
    <w:rsid w:val="3AB770EB"/>
    <w:rsid w:val="3AC24750"/>
    <w:rsid w:val="3ACF3146"/>
    <w:rsid w:val="3AD706F0"/>
    <w:rsid w:val="3ADB456A"/>
    <w:rsid w:val="3ADD4CE4"/>
    <w:rsid w:val="3AE22366"/>
    <w:rsid w:val="3AE32FC5"/>
    <w:rsid w:val="3B01534E"/>
    <w:rsid w:val="3B1A2E07"/>
    <w:rsid w:val="3B220FAB"/>
    <w:rsid w:val="3B2B04AE"/>
    <w:rsid w:val="3B354116"/>
    <w:rsid w:val="3B3606A4"/>
    <w:rsid w:val="3B37002E"/>
    <w:rsid w:val="3B3A1A4D"/>
    <w:rsid w:val="3B5F7775"/>
    <w:rsid w:val="3B6355B8"/>
    <w:rsid w:val="3B780EC3"/>
    <w:rsid w:val="3B7E2C08"/>
    <w:rsid w:val="3B7F54B1"/>
    <w:rsid w:val="3B8C69F8"/>
    <w:rsid w:val="3B8F38C5"/>
    <w:rsid w:val="3B8F7797"/>
    <w:rsid w:val="3BBB0472"/>
    <w:rsid w:val="3BBB258C"/>
    <w:rsid w:val="3BC10C90"/>
    <w:rsid w:val="3BCF0D90"/>
    <w:rsid w:val="3BD7147F"/>
    <w:rsid w:val="3BD9614A"/>
    <w:rsid w:val="3BD97848"/>
    <w:rsid w:val="3BDD3FF8"/>
    <w:rsid w:val="3BDE020F"/>
    <w:rsid w:val="3BE2113D"/>
    <w:rsid w:val="3BE40F2C"/>
    <w:rsid w:val="3BE44314"/>
    <w:rsid w:val="3BE707E1"/>
    <w:rsid w:val="3BF36D8A"/>
    <w:rsid w:val="3BF624BE"/>
    <w:rsid w:val="3C194932"/>
    <w:rsid w:val="3C242690"/>
    <w:rsid w:val="3C2A58D9"/>
    <w:rsid w:val="3C335B2B"/>
    <w:rsid w:val="3C3818C8"/>
    <w:rsid w:val="3C3C3898"/>
    <w:rsid w:val="3C4A1080"/>
    <w:rsid w:val="3C4D3FE4"/>
    <w:rsid w:val="3C503ADD"/>
    <w:rsid w:val="3C5A0BC2"/>
    <w:rsid w:val="3C5A2C7F"/>
    <w:rsid w:val="3C616C8C"/>
    <w:rsid w:val="3C625A22"/>
    <w:rsid w:val="3C697AAF"/>
    <w:rsid w:val="3C801960"/>
    <w:rsid w:val="3C87271F"/>
    <w:rsid w:val="3C8A04E4"/>
    <w:rsid w:val="3C8C2404"/>
    <w:rsid w:val="3C9215A9"/>
    <w:rsid w:val="3C9B1215"/>
    <w:rsid w:val="3C9E414B"/>
    <w:rsid w:val="3CA45E15"/>
    <w:rsid w:val="3CA600FB"/>
    <w:rsid w:val="3CAD594E"/>
    <w:rsid w:val="3CB521AA"/>
    <w:rsid w:val="3CCE6214"/>
    <w:rsid w:val="3CDA3F3A"/>
    <w:rsid w:val="3CDC2BCD"/>
    <w:rsid w:val="3CE6370F"/>
    <w:rsid w:val="3CE74D80"/>
    <w:rsid w:val="3CEA3C72"/>
    <w:rsid w:val="3CEB464F"/>
    <w:rsid w:val="3CED49C6"/>
    <w:rsid w:val="3CF313F6"/>
    <w:rsid w:val="3CF97453"/>
    <w:rsid w:val="3CFA2209"/>
    <w:rsid w:val="3CFB12EF"/>
    <w:rsid w:val="3D144F41"/>
    <w:rsid w:val="3D3A3115"/>
    <w:rsid w:val="3D3C5717"/>
    <w:rsid w:val="3D3E32F0"/>
    <w:rsid w:val="3D407C00"/>
    <w:rsid w:val="3D4A7769"/>
    <w:rsid w:val="3D504838"/>
    <w:rsid w:val="3D5B1ADC"/>
    <w:rsid w:val="3D5B1C55"/>
    <w:rsid w:val="3D5C5191"/>
    <w:rsid w:val="3D5F2D7A"/>
    <w:rsid w:val="3D695824"/>
    <w:rsid w:val="3D8E4E2E"/>
    <w:rsid w:val="3D967BCC"/>
    <w:rsid w:val="3D9A6E91"/>
    <w:rsid w:val="3D9E2ECE"/>
    <w:rsid w:val="3DAF64E6"/>
    <w:rsid w:val="3DB53CFF"/>
    <w:rsid w:val="3DB9487B"/>
    <w:rsid w:val="3DB969D8"/>
    <w:rsid w:val="3DC53AAA"/>
    <w:rsid w:val="3DC900BD"/>
    <w:rsid w:val="3DCF1529"/>
    <w:rsid w:val="3DDC29E6"/>
    <w:rsid w:val="3DE61DC1"/>
    <w:rsid w:val="3DEA24A5"/>
    <w:rsid w:val="3DF2060C"/>
    <w:rsid w:val="3DFD6E11"/>
    <w:rsid w:val="3E05160F"/>
    <w:rsid w:val="3E0550DD"/>
    <w:rsid w:val="3E092643"/>
    <w:rsid w:val="3E0E6511"/>
    <w:rsid w:val="3E15551A"/>
    <w:rsid w:val="3E2344A7"/>
    <w:rsid w:val="3E2A2654"/>
    <w:rsid w:val="3E344B09"/>
    <w:rsid w:val="3E365815"/>
    <w:rsid w:val="3E3A3CA2"/>
    <w:rsid w:val="3E463DA0"/>
    <w:rsid w:val="3E4A1730"/>
    <w:rsid w:val="3E5300F7"/>
    <w:rsid w:val="3E53368B"/>
    <w:rsid w:val="3E6424A3"/>
    <w:rsid w:val="3E683C3C"/>
    <w:rsid w:val="3E8F4578"/>
    <w:rsid w:val="3E97259E"/>
    <w:rsid w:val="3E9B1846"/>
    <w:rsid w:val="3EA02030"/>
    <w:rsid w:val="3EA17C47"/>
    <w:rsid w:val="3EA205F5"/>
    <w:rsid w:val="3EAB6D68"/>
    <w:rsid w:val="3EAF089D"/>
    <w:rsid w:val="3EB73BE8"/>
    <w:rsid w:val="3EBC2EA4"/>
    <w:rsid w:val="3EC85EE1"/>
    <w:rsid w:val="3EC93614"/>
    <w:rsid w:val="3EDE2CC6"/>
    <w:rsid w:val="3EE87D05"/>
    <w:rsid w:val="3EEB3DD1"/>
    <w:rsid w:val="3EF11C27"/>
    <w:rsid w:val="3F0B28A7"/>
    <w:rsid w:val="3F0B6880"/>
    <w:rsid w:val="3F357562"/>
    <w:rsid w:val="3F3949CD"/>
    <w:rsid w:val="3F4054DB"/>
    <w:rsid w:val="3F45722D"/>
    <w:rsid w:val="3F4A182A"/>
    <w:rsid w:val="3F5760EC"/>
    <w:rsid w:val="3F6E3AC0"/>
    <w:rsid w:val="3F78234A"/>
    <w:rsid w:val="3F7848B1"/>
    <w:rsid w:val="3F794A81"/>
    <w:rsid w:val="3F7B7D8C"/>
    <w:rsid w:val="3F80533F"/>
    <w:rsid w:val="3F8B5201"/>
    <w:rsid w:val="3F91470E"/>
    <w:rsid w:val="3F99774A"/>
    <w:rsid w:val="3FA01865"/>
    <w:rsid w:val="3FA65205"/>
    <w:rsid w:val="3FA65E95"/>
    <w:rsid w:val="3FAE1BCD"/>
    <w:rsid w:val="3FB345E0"/>
    <w:rsid w:val="3FC17D26"/>
    <w:rsid w:val="3FC716F0"/>
    <w:rsid w:val="3FCD1D9A"/>
    <w:rsid w:val="3FD523EE"/>
    <w:rsid w:val="3FD64A35"/>
    <w:rsid w:val="3FDD04A4"/>
    <w:rsid w:val="3FE122B3"/>
    <w:rsid w:val="3FE17564"/>
    <w:rsid w:val="3FF63635"/>
    <w:rsid w:val="3FFC3F26"/>
    <w:rsid w:val="3FFD5F36"/>
    <w:rsid w:val="40135E22"/>
    <w:rsid w:val="402559BD"/>
    <w:rsid w:val="40377C07"/>
    <w:rsid w:val="40404635"/>
    <w:rsid w:val="4046379F"/>
    <w:rsid w:val="404F6320"/>
    <w:rsid w:val="40575B6B"/>
    <w:rsid w:val="405F7DBC"/>
    <w:rsid w:val="406A2A9B"/>
    <w:rsid w:val="406F6A98"/>
    <w:rsid w:val="407325B1"/>
    <w:rsid w:val="40780175"/>
    <w:rsid w:val="4087043A"/>
    <w:rsid w:val="40950E94"/>
    <w:rsid w:val="40981736"/>
    <w:rsid w:val="40995FEC"/>
    <w:rsid w:val="40A16A21"/>
    <w:rsid w:val="40A35977"/>
    <w:rsid w:val="40AA09F4"/>
    <w:rsid w:val="40AA114E"/>
    <w:rsid w:val="40AE1CE7"/>
    <w:rsid w:val="40B17662"/>
    <w:rsid w:val="40CB4CEA"/>
    <w:rsid w:val="40D433A7"/>
    <w:rsid w:val="40EC0F3A"/>
    <w:rsid w:val="40ED30F1"/>
    <w:rsid w:val="40F5260D"/>
    <w:rsid w:val="40F74206"/>
    <w:rsid w:val="41012F23"/>
    <w:rsid w:val="410A47A8"/>
    <w:rsid w:val="41236A67"/>
    <w:rsid w:val="4126337C"/>
    <w:rsid w:val="41272174"/>
    <w:rsid w:val="412C2512"/>
    <w:rsid w:val="412D2786"/>
    <w:rsid w:val="4135596C"/>
    <w:rsid w:val="4135613F"/>
    <w:rsid w:val="413C04A5"/>
    <w:rsid w:val="413C5776"/>
    <w:rsid w:val="41422D82"/>
    <w:rsid w:val="414723ED"/>
    <w:rsid w:val="41517523"/>
    <w:rsid w:val="41616C64"/>
    <w:rsid w:val="417461D0"/>
    <w:rsid w:val="41763769"/>
    <w:rsid w:val="417C2AB8"/>
    <w:rsid w:val="417E60E8"/>
    <w:rsid w:val="418475C0"/>
    <w:rsid w:val="41894CDE"/>
    <w:rsid w:val="41900184"/>
    <w:rsid w:val="4195477A"/>
    <w:rsid w:val="41A448E9"/>
    <w:rsid w:val="41A6776B"/>
    <w:rsid w:val="41A806BB"/>
    <w:rsid w:val="41B24481"/>
    <w:rsid w:val="41CF1EF9"/>
    <w:rsid w:val="41D06B69"/>
    <w:rsid w:val="41D07194"/>
    <w:rsid w:val="41F15C02"/>
    <w:rsid w:val="41F54F32"/>
    <w:rsid w:val="41FB3FCF"/>
    <w:rsid w:val="4201095F"/>
    <w:rsid w:val="420A4064"/>
    <w:rsid w:val="42110587"/>
    <w:rsid w:val="42187567"/>
    <w:rsid w:val="421B600E"/>
    <w:rsid w:val="42241CFE"/>
    <w:rsid w:val="4228786B"/>
    <w:rsid w:val="42324D52"/>
    <w:rsid w:val="42367549"/>
    <w:rsid w:val="42393AC6"/>
    <w:rsid w:val="423E13C2"/>
    <w:rsid w:val="425D6066"/>
    <w:rsid w:val="426B1C73"/>
    <w:rsid w:val="426B5D3B"/>
    <w:rsid w:val="42701276"/>
    <w:rsid w:val="4276121A"/>
    <w:rsid w:val="427635E7"/>
    <w:rsid w:val="42810F70"/>
    <w:rsid w:val="4287364F"/>
    <w:rsid w:val="428A35E7"/>
    <w:rsid w:val="428C5B44"/>
    <w:rsid w:val="428F3D35"/>
    <w:rsid w:val="42910413"/>
    <w:rsid w:val="42921C4E"/>
    <w:rsid w:val="42934B0B"/>
    <w:rsid w:val="429E7CF4"/>
    <w:rsid w:val="42A11BA6"/>
    <w:rsid w:val="42AB18A4"/>
    <w:rsid w:val="42AD63FD"/>
    <w:rsid w:val="42B800A6"/>
    <w:rsid w:val="42B85123"/>
    <w:rsid w:val="42BA223F"/>
    <w:rsid w:val="42CD130C"/>
    <w:rsid w:val="42CF795E"/>
    <w:rsid w:val="42E20D0B"/>
    <w:rsid w:val="42EA3317"/>
    <w:rsid w:val="42EB262E"/>
    <w:rsid w:val="42ED3523"/>
    <w:rsid w:val="42F43BD2"/>
    <w:rsid w:val="42F95784"/>
    <w:rsid w:val="42FB0A7B"/>
    <w:rsid w:val="430078BD"/>
    <w:rsid w:val="430D6402"/>
    <w:rsid w:val="43156F69"/>
    <w:rsid w:val="431D2E6F"/>
    <w:rsid w:val="433C19BC"/>
    <w:rsid w:val="433D56A1"/>
    <w:rsid w:val="43467691"/>
    <w:rsid w:val="43472D6D"/>
    <w:rsid w:val="435828AD"/>
    <w:rsid w:val="435D65EC"/>
    <w:rsid w:val="436008CC"/>
    <w:rsid w:val="436741E2"/>
    <w:rsid w:val="436D085B"/>
    <w:rsid w:val="438D720F"/>
    <w:rsid w:val="43997216"/>
    <w:rsid w:val="43A55E72"/>
    <w:rsid w:val="43A9445A"/>
    <w:rsid w:val="43AD4096"/>
    <w:rsid w:val="43B24C30"/>
    <w:rsid w:val="43B81F4E"/>
    <w:rsid w:val="43BB7E5D"/>
    <w:rsid w:val="43CA4EA3"/>
    <w:rsid w:val="43DA731A"/>
    <w:rsid w:val="43E2227D"/>
    <w:rsid w:val="43EF6472"/>
    <w:rsid w:val="43F24B70"/>
    <w:rsid w:val="43F856E3"/>
    <w:rsid w:val="43FA7944"/>
    <w:rsid w:val="43FC2999"/>
    <w:rsid w:val="440367B2"/>
    <w:rsid w:val="440852C0"/>
    <w:rsid w:val="440E0CD3"/>
    <w:rsid w:val="441B28F9"/>
    <w:rsid w:val="441B4D4F"/>
    <w:rsid w:val="441C453A"/>
    <w:rsid w:val="44261B25"/>
    <w:rsid w:val="443D0E0A"/>
    <w:rsid w:val="44450997"/>
    <w:rsid w:val="444C2986"/>
    <w:rsid w:val="444C6801"/>
    <w:rsid w:val="44512FF9"/>
    <w:rsid w:val="445742D1"/>
    <w:rsid w:val="44607072"/>
    <w:rsid w:val="44664181"/>
    <w:rsid w:val="446C44BA"/>
    <w:rsid w:val="446F24ED"/>
    <w:rsid w:val="4476694D"/>
    <w:rsid w:val="447D7321"/>
    <w:rsid w:val="4488054E"/>
    <w:rsid w:val="448C6E27"/>
    <w:rsid w:val="448F4548"/>
    <w:rsid w:val="449A3E84"/>
    <w:rsid w:val="449D73B9"/>
    <w:rsid w:val="44A31198"/>
    <w:rsid w:val="44A63834"/>
    <w:rsid w:val="44A70373"/>
    <w:rsid w:val="44AA4B60"/>
    <w:rsid w:val="44C3653B"/>
    <w:rsid w:val="44C70940"/>
    <w:rsid w:val="44C90FC7"/>
    <w:rsid w:val="44D863F1"/>
    <w:rsid w:val="44E3752E"/>
    <w:rsid w:val="44EC285C"/>
    <w:rsid w:val="44FA466C"/>
    <w:rsid w:val="44FF77B0"/>
    <w:rsid w:val="450709C7"/>
    <w:rsid w:val="450A4C8B"/>
    <w:rsid w:val="450F3B71"/>
    <w:rsid w:val="45104968"/>
    <w:rsid w:val="45150B12"/>
    <w:rsid w:val="451E430E"/>
    <w:rsid w:val="45236D6B"/>
    <w:rsid w:val="4527278B"/>
    <w:rsid w:val="453A5918"/>
    <w:rsid w:val="453F63B4"/>
    <w:rsid w:val="45403272"/>
    <w:rsid w:val="455A409F"/>
    <w:rsid w:val="456B396F"/>
    <w:rsid w:val="45732C29"/>
    <w:rsid w:val="457539EE"/>
    <w:rsid w:val="457722DB"/>
    <w:rsid w:val="457B76A7"/>
    <w:rsid w:val="4581355F"/>
    <w:rsid w:val="458614D0"/>
    <w:rsid w:val="458642E6"/>
    <w:rsid w:val="458C7600"/>
    <w:rsid w:val="459E4382"/>
    <w:rsid w:val="45AA243E"/>
    <w:rsid w:val="45AD014E"/>
    <w:rsid w:val="45C00866"/>
    <w:rsid w:val="45C237BF"/>
    <w:rsid w:val="45C67FA0"/>
    <w:rsid w:val="45DC2621"/>
    <w:rsid w:val="45EE0F42"/>
    <w:rsid w:val="45F53410"/>
    <w:rsid w:val="46073F9D"/>
    <w:rsid w:val="460B7236"/>
    <w:rsid w:val="460C0589"/>
    <w:rsid w:val="46140297"/>
    <w:rsid w:val="461E7BDC"/>
    <w:rsid w:val="461F3FD3"/>
    <w:rsid w:val="46216BE1"/>
    <w:rsid w:val="46236A25"/>
    <w:rsid w:val="4630636C"/>
    <w:rsid w:val="46371897"/>
    <w:rsid w:val="46377818"/>
    <w:rsid w:val="464C52BF"/>
    <w:rsid w:val="464D3E67"/>
    <w:rsid w:val="464E2683"/>
    <w:rsid w:val="464F34A4"/>
    <w:rsid w:val="465024AA"/>
    <w:rsid w:val="466075F2"/>
    <w:rsid w:val="466D6983"/>
    <w:rsid w:val="46770EFA"/>
    <w:rsid w:val="467C18B6"/>
    <w:rsid w:val="467D4AA3"/>
    <w:rsid w:val="468562CC"/>
    <w:rsid w:val="468B140E"/>
    <w:rsid w:val="46A125EC"/>
    <w:rsid w:val="46C07A22"/>
    <w:rsid w:val="46C55243"/>
    <w:rsid w:val="46CD033E"/>
    <w:rsid w:val="46D419B8"/>
    <w:rsid w:val="46DE108B"/>
    <w:rsid w:val="46E03AD4"/>
    <w:rsid w:val="46E46E3C"/>
    <w:rsid w:val="46E631C2"/>
    <w:rsid w:val="46E8782E"/>
    <w:rsid w:val="46F00EF5"/>
    <w:rsid w:val="47090B6E"/>
    <w:rsid w:val="470F078E"/>
    <w:rsid w:val="4711015C"/>
    <w:rsid w:val="4719650D"/>
    <w:rsid w:val="47297741"/>
    <w:rsid w:val="472A07C2"/>
    <w:rsid w:val="47357C30"/>
    <w:rsid w:val="47396BDC"/>
    <w:rsid w:val="4756627D"/>
    <w:rsid w:val="47620BF8"/>
    <w:rsid w:val="476226AC"/>
    <w:rsid w:val="4775024A"/>
    <w:rsid w:val="477D17A6"/>
    <w:rsid w:val="478337CA"/>
    <w:rsid w:val="478A4422"/>
    <w:rsid w:val="478C0399"/>
    <w:rsid w:val="4792130E"/>
    <w:rsid w:val="47AA059A"/>
    <w:rsid w:val="47AD7B72"/>
    <w:rsid w:val="47B81B18"/>
    <w:rsid w:val="47BD4B5B"/>
    <w:rsid w:val="47CC7C83"/>
    <w:rsid w:val="47DD3EC5"/>
    <w:rsid w:val="47E23BEB"/>
    <w:rsid w:val="47E915B2"/>
    <w:rsid w:val="47FD2BCF"/>
    <w:rsid w:val="47FF30B8"/>
    <w:rsid w:val="480E213A"/>
    <w:rsid w:val="481425B4"/>
    <w:rsid w:val="481F562E"/>
    <w:rsid w:val="483369B0"/>
    <w:rsid w:val="483E42E7"/>
    <w:rsid w:val="48400BE5"/>
    <w:rsid w:val="48467A0E"/>
    <w:rsid w:val="48484990"/>
    <w:rsid w:val="484D1B44"/>
    <w:rsid w:val="485D109E"/>
    <w:rsid w:val="486513BA"/>
    <w:rsid w:val="486C4B23"/>
    <w:rsid w:val="486E66A1"/>
    <w:rsid w:val="48725F90"/>
    <w:rsid w:val="48765FF6"/>
    <w:rsid w:val="487B23EF"/>
    <w:rsid w:val="4888279D"/>
    <w:rsid w:val="4893583C"/>
    <w:rsid w:val="489468B8"/>
    <w:rsid w:val="48982783"/>
    <w:rsid w:val="48A03654"/>
    <w:rsid w:val="48AA06B2"/>
    <w:rsid w:val="48AD36D2"/>
    <w:rsid w:val="48AD4A45"/>
    <w:rsid w:val="48CD4D7B"/>
    <w:rsid w:val="48CD68AD"/>
    <w:rsid w:val="48DD0895"/>
    <w:rsid w:val="48DD3223"/>
    <w:rsid w:val="48E16051"/>
    <w:rsid w:val="48E40E4F"/>
    <w:rsid w:val="48F90257"/>
    <w:rsid w:val="490627CF"/>
    <w:rsid w:val="49065BD2"/>
    <w:rsid w:val="490B029F"/>
    <w:rsid w:val="490E1259"/>
    <w:rsid w:val="490F785A"/>
    <w:rsid w:val="49116CBC"/>
    <w:rsid w:val="491230C4"/>
    <w:rsid w:val="49156868"/>
    <w:rsid w:val="491A1818"/>
    <w:rsid w:val="491D1E79"/>
    <w:rsid w:val="491F7C74"/>
    <w:rsid w:val="492318CE"/>
    <w:rsid w:val="492C71E7"/>
    <w:rsid w:val="492F36DD"/>
    <w:rsid w:val="494B1B00"/>
    <w:rsid w:val="494D708D"/>
    <w:rsid w:val="494F38D3"/>
    <w:rsid w:val="49505E47"/>
    <w:rsid w:val="49520AF7"/>
    <w:rsid w:val="495B6313"/>
    <w:rsid w:val="495C3B9A"/>
    <w:rsid w:val="496154F8"/>
    <w:rsid w:val="496C4FFB"/>
    <w:rsid w:val="497C11DD"/>
    <w:rsid w:val="497C354B"/>
    <w:rsid w:val="498E2EA4"/>
    <w:rsid w:val="499967A7"/>
    <w:rsid w:val="499F66F6"/>
    <w:rsid w:val="49A75B81"/>
    <w:rsid w:val="49B069C4"/>
    <w:rsid w:val="49B20F16"/>
    <w:rsid w:val="49BE7E74"/>
    <w:rsid w:val="49C524A0"/>
    <w:rsid w:val="49C60208"/>
    <w:rsid w:val="49C74D72"/>
    <w:rsid w:val="49CD5096"/>
    <w:rsid w:val="49D3135A"/>
    <w:rsid w:val="49D763A5"/>
    <w:rsid w:val="49F028E9"/>
    <w:rsid w:val="4A0908AF"/>
    <w:rsid w:val="4A2A3C74"/>
    <w:rsid w:val="4A303F42"/>
    <w:rsid w:val="4A381AD0"/>
    <w:rsid w:val="4A444CA6"/>
    <w:rsid w:val="4A504F68"/>
    <w:rsid w:val="4A5173B3"/>
    <w:rsid w:val="4A524DED"/>
    <w:rsid w:val="4A53020D"/>
    <w:rsid w:val="4A54040B"/>
    <w:rsid w:val="4A5D5401"/>
    <w:rsid w:val="4A6D7495"/>
    <w:rsid w:val="4A771629"/>
    <w:rsid w:val="4AA12272"/>
    <w:rsid w:val="4AA542CF"/>
    <w:rsid w:val="4AA73B98"/>
    <w:rsid w:val="4AB257FB"/>
    <w:rsid w:val="4AB52713"/>
    <w:rsid w:val="4AB611D6"/>
    <w:rsid w:val="4AB825FE"/>
    <w:rsid w:val="4ABB060C"/>
    <w:rsid w:val="4ABF55F4"/>
    <w:rsid w:val="4ACA693D"/>
    <w:rsid w:val="4AD0799B"/>
    <w:rsid w:val="4ADF14B9"/>
    <w:rsid w:val="4AF1261E"/>
    <w:rsid w:val="4AF20DC8"/>
    <w:rsid w:val="4AFE72F7"/>
    <w:rsid w:val="4B0272EB"/>
    <w:rsid w:val="4B0A5BB2"/>
    <w:rsid w:val="4B1A1183"/>
    <w:rsid w:val="4B1B530A"/>
    <w:rsid w:val="4B2170B4"/>
    <w:rsid w:val="4B2414D9"/>
    <w:rsid w:val="4B3A01BD"/>
    <w:rsid w:val="4B407D37"/>
    <w:rsid w:val="4B4501B3"/>
    <w:rsid w:val="4B5451D0"/>
    <w:rsid w:val="4B563B33"/>
    <w:rsid w:val="4B6F1DC9"/>
    <w:rsid w:val="4B7F2640"/>
    <w:rsid w:val="4B84556A"/>
    <w:rsid w:val="4B85769F"/>
    <w:rsid w:val="4B875148"/>
    <w:rsid w:val="4B8A1732"/>
    <w:rsid w:val="4B966CFC"/>
    <w:rsid w:val="4B9E5B30"/>
    <w:rsid w:val="4BAE0D9F"/>
    <w:rsid w:val="4BB014EE"/>
    <w:rsid w:val="4BB4373C"/>
    <w:rsid w:val="4BC5047D"/>
    <w:rsid w:val="4BC5588A"/>
    <w:rsid w:val="4BD1633E"/>
    <w:rsid w:val="4BD316E8"/>
    <w:rsid w:val="4BD37F7E"/>
    <w:rsid w:val="4BDF2E2C"/>
    <w:rsid w:val="4BE80EE2"/>
    <w:rsid w:val="4BE848B0"/>
    <w:rsid w:val="4BEC0587"/>
    <w:rsid w:val="4BF739ED"/>
    <w:rsid w:val="4C044742"/>
    <w:rsid w:val="4C0739E6"/>
    <w:rsid w:val="4C0B4C71"/>
    <w:rsid w:val="4C0F0DE5"/>
    <w:rsid w:val="4C1215BD"/>
    <w:rsid w:val="4C1264F0"/>
    <w:rsid w:val="4C181C7A"/>
    <w:rsid w:val="4C2031BD"/>
    <w:rsid w:val="4C2E3C3A"/>
    <w:rsid w:val="4C2F38FF"/>
    <w:rsid w:val="4C3576B7"/>
    <w:rsid w:val="4C391445"/>
    <w:rsid w:val="4C3A3151"/>
    <w:rsid w:val="4C430302"/>
    <w:rsid w:val="4C4B2D39"/>
    <w:rsid w:val="4C506B5B"/>
    <w:rsid w:val="4C530B40"/>
    <w:rsid w:val="4C6D1622"/>
    <w:rsid w:val="4C70591F"/>
    <w:rsid w:val="4C881912"/>
    <w:rsid w:val="4C8A6CCC"/>
    <w:rsid w:val="4C935E55"/>
    <w:rsid w:val="4C965C21"/>
    <w:rsid w:val="4CA10305"/>
    <w:rsid w:val="4CB2159C"/>
    <w:rsid w:val="4CC87F48"/>
    <w:rsid w:val="4CD050A6"/>
    <w:rsid w:val="4CD473F5"/>
    <w:rsid w:val="4CD61780"/>
    <w:rsid w:val="4CD77D7D"/>
    <w:rsid w:val="4CDD58CD"/>
    <w:rsid w:val="4CE0479E"/>
    <w:rsid w:val="4CED6A16"/>
    <w:rsid w:val="4CF2003C"/>
    <w:rsid w:val="4CF42C42"/>
    <w:rsid w:val="4CF73048"/>
    <w:rsid w:val="4CFF3D39"/>
    <w:rsid w:val="4D050829"/>
    <w:rsid w:val="4D0E5CFA"/>
    <w:rsid w:val="4D236343"/>
    <w:rsid w:val="4D2439A9"/>
    <w:rsid w:val="4D2D4FC7"/>
    <w:rsid w:val="4D315FE3"/>
    <w:rsid w:val="4D434429"/>
    <w:rsid w:val="4D4823C6"/>
    <w:rsid w:val="4D5267CF"/>
    <w:rsid w:val="4D872ED9"/>
    <w:rsid w:val="4D881CA7"/>
    <w:rsid w:val="4D8A3547"/>
    <w:rsid w:val="4D8E6315"/>
    <w:rsid w:val="4D9359E8"/>
    <w:rsid w:val="4D937006"/>
    <w:rsid w:val="4D990270"/>
    <w:rsid w:val="4DA60887"/>
    <w:rsid w:val="4DA93059"/>
    <w:rsid w:val="4DCE7B2E"/>
    <w:rsid w:val="4DD83D0E"/>
    <w:rsid w:val="4DD90510"/>
    <w:rsid w:val="4DE5616A"/>
    <w:rsid w:val="4DE72297"/>
    <w:rsid w:val="4DEF74D7"/>
    <w:rsid w:val="4DF20A1B"/>
    <w:rsid w:val="4E06565F"/>
    <w:rsid w:val="4E0D7F43"/>
    <w:rsid w:val="4E1063DB"/>
    <w:rsid w:val="4E1122B6"/>
    <w:rsid w:val="4E120ACB"/>
    <w:rsid w:val="4E235B68"/>
    <w:rsid w:val="4E344742"/>
    <w:rsid w:val="4E3945D3"/>
    <w:rsid w:val="4E3B07FB"/>
    <w:rsid w:val="4E3B6540"/>
    <w:rsid w:val="4E3D0666"/>
    <w:rsid w:val="4E473D49"/>
    <w:rsid w:val="4E511EDE"/>
    <w:rsid w:val="4E665C10"/>
    <w:rsid w:val="4E67609B"/>
    <w:rsid w:val="4E68223C"/>
    <w:rsid w:val="4E6E2A28"/>
    <w:rsid w:val="4E817889"/>
    <w:rsid w:val="4E934422"/>
    <w:rsid w:val="4E9641FD"/>
    <w:rsid w:val="4EA21C07"/>
    <w:rsid w:val="4EA55BA4"/>
    <w:rsid w:val="4EA5698E"/>
    <w:rsid w:val="4EA67A4F"/>
    <w:rsid w:val="4EB02000"/>
    <w:rsid w:val="4EB83817"/>
    <w:rsid w:val="4EC71534"/>
    <w:rsid w:val="4ED07768"/>
    <w:rsid w:val="4EDA0619"/>
    <w:rsid w:val="4EDD0EF1"/>
    <w:rsid w:val="4EEE427C"/>
    <w:rsid w:val="4EEF4272"/>
    <w:rsid w:val="4EF0607F"/>
    <w:rsid w:val="4EFA7683"/>
    <w:rsid w:val="4EFF6A60"/>
    <w:rsid w:val="4F017DB1"/>
    <w:rsid w:val="4F0269B7"/>
    <w:rsid w:val="4F07598E"/>
    <w:rsid w:val="4F0D07A9"/>
    <w:rsid w:val="4F1021B6"/>
    <w:rsid w:val="4F12565C"/>
    <w:rsid w:val="4F15298A"/>
    <w:rsid w:val="4F266FEA"/>
    <w:rsid w:val="4F2B1A0B"/>
    <w:rsid w:val="4F34002E"/>
    <w:rsid w:val="4F3B3380"/>
    <w:rsid w:val="4F4330E1"/>
    <w:rsid w:val="4F44318B"/>
    <w:rsid w:val="4F6F2AD6"/>
    <w:rsid w:val="4F705705"/>
    <w:rsid w:val="4F7C4074"/>
    <w:rsid w:val="4F851C7B"/>
    <w:rsid w:val="4F863F02"/>
    <w:rsid w:val="4FA211A1"/>
    <w:rsid w:val="4FAB13A3"/>
    <w:rsid w:val="4FAD785A"/>
    <w:rsid w:val="4FB062A4"/>
    <w:rsid w:val="4FBA3B2E"/>
    <w:rsid w:val="4FDC17EF"/>
    <w:rsid w:val="4FDE34FB"/>
    <w:rsid w:val="4FE539C1"/>
    <w:rsid w:val="4FF70D8F"/>
    <w:rsid w:val="4FFA4751"/>
    <w:rsid w:val="50095557"/>
    <w:rsid w:val="500B3B9F"/>
    <w:rsid w:val="50184333"/>
    <w:rsid w:val="50260F72"/>
    <w:rsid w:val="502B0326"/>
    <w:rsid w:val="502D3C62"/>
    <w:rsid w:val="502F0F9B"/>
    <w:rsid w:val="5030250B"/>
    <w:rsid w:val="50482BE0"/>
    <w:rsid w:val="504C2262"/>
    <w:rsid w:val="50515C89"/>
    <w:rsid w:val="505350B3"/>
    <w:rsid w:val="505A527C"/>
    <w:rsid w:val="505C525D"/>
    <w:rsid w:val="5066345E"/>
    <w:rsid w:val="507A4AFC"/>
    <w:rsid w:val="507C46E2"/>
    <w:rsid w:val="507C7DB8"/>
    <w:rsid w:val="508E10E9"/>
    <w:rsid w:val="50901739"/>
    <w:rsid w:val="50A25B89"/>
    <w:rsid w:val="50A406BF"/>
    <w:rsid w:val="50AA492B"/>
    <w:rsid w:val="50AE1CD5"/>
    <w:rsid w:val="50B07A56"/>
    <w:rsid w:val="50BF1009"/>
    <w:rsid w:val="50C20563"/>
    <w:rsid w:val="50D55218"/>
    <w:rsid w:val="50D71CDF"/>
    <w:rsid w:val="50D77020"/>
    <w:rsid w:val="50D77CE8"/>
    <w:rsid w:val="50E60CEB"/>
    <w:rsid w:val="50E736A7"/>
    <w:rsid w:val="50EA2ED2"/>
    <w:rsid w:val="50EF01A5"/>
    <w:rsid w:val="51002413"/>
    <w:rsid w:val="51011E6A"/>
    <w:rsid w:val="51012663"/>
    <w:rsid w:val="51075AB5"/>
    <w:rsid w:val="511C149B"/>
    <w:rsid w:val="511E0D5B"/>
    <w:rsid w:val="51200F01"/>
    <w:rsid w:val="51265E05"/>
    <w:rsid w:val="51320213"/>
    <w:rsid w:val="51352F32"/>
    <w:rsid w:val="514213B6"/>
    <w:rsid w:val="51432B22"/>
    <w:rsid w:val="51460767"/>
    <w:rsid w:val="51464E9F"/>
    <w:rsid w:val="514960C2"/>
    <w:rsid w:val="51532B93"/>
    <w:rsid w:val="517324D2"/>
    <w:rsid w:val="517D2AB7"/>
    <w:rsid w:val="517F3FCE"/>
    <w:rsid w:val="51993583"/>
    <w:rsid w:val="519B5E1F"/>
    <w:rsid w:val="51A22549"/>
    <w:rsid w:val="51A737D8"/>
    <w:rsid w:val="51B16E5C"/>
    <w:rsid w:val="51B60EB8"/>
    <w:rsid w:val="51C03C36"/>
    <w:rsid w:val="51C13B30"/>
    <w:rsid w:val="51C67AE8"/>
    <w:rsid w:val="51D13FCF"/>
    <w:rsid w:val="51D37859"/>
    <w:rsid w:val="51E86C7B"/>
    <w:rsid w:val="51EC5599"/>
    <w:rsid w:val="51FB6207"/>
    <w:rsid w:val="51FE4356"/>
    <w:rsid w:val="520E5539"/>
    <w:rsid w:val="520E7698"/>
    <w:rsid w:val="52175DA4"/>
    <w:rsid w:val="521B4839"/>
    <w:rsid w:val="522B6148"/>
    <w:rsid w:val="522C4F25"/>
    <w:rsid w:val="52486D0A"/>
    <w:rsid w:val="524957FD"/>
    <w:rsid w:val="525256ED"/>
    <w:rsid w:val="525B347D"/>
    <w:rsid w:val="525E7242"/>
    <w:rsid w:val="526B69F8"/>
    <w:rsid w:val="5279486F"/>
    <w:rsid w:val="529000F9"/>
    <w:rsid w:val="529B1088"/>
    <w:rsid w:val="52A01DC8"/>
    <w:rsid w:val="52AE0EAD"/>
    <w:rsid w:val="52BE2DCD"/>
    <w:rsid w:val="52C0058E"/>
    <w:rsid w:val="52D723BD"/>
    <w:rsid w:val="52E72C19"/>
    <w:rsid w:val="52EB1E6B"/>
    <w:rsid w:val="52ED35A0"/>
    <w:rsid w:val="52F17B18"/>
    <w:rsid w:val="52F87E22"/>
    <w:rsid w:val="52FA510F"/>
    <w:rsid w:val="52FD5B95"/>
    <w:rsid w:val="5305695C"/>
    <w:rsid w:val="53086B3B"/>
    <w:rsid w:val="53136330"/>
    <w:rsid w:val="53162A0C"/>
    <w:rsid w:val="531E1170"/>
    <w:rsid w:val="53256107"/>
    <w:rsid w:val="532654C0"/>
    <w:rsid w:val="532749F7"/>
    <w:rsid w:val="53283C9B"/>
    <w:rsid w:val="532F041F"/>
    <w:rsid w:val="53305025"/>
    <w:rsid w:val="533721E2"/>
    <w:rsid w:val="533D44D0"/>
    <w:rsid w:val="53443EE6"/>
    <w:rsid w:val="53492E75"/>
    <w:rsid w:val="534A1E60"/>
    <w:rsid w:val="534B08FB"/>
    <w:rsid w:val="53606EAB"/>
    <w:rsid w:val="536C69A6"/>
    <w:rsid w:val="537033EC"/>
    <w:rsid w:val="53755AC0"/>
    <w:rsid w:val="53794560"/>
    <w:rsid w:val="537C478D"/>
    <w:rsid w:val="53844C03"/>
    <w:rsid w:val="5393181F"/>
    <w:rsid w:val="53963168"/>
    <w:rsid w:val="539A2BCC"/>
    <w:rsid w:val="539C4E54"/>
    <w:rsid w:val="53A64A6A"/>
    <w:rsid w:val="53C67D39"/>
    <w:rsid w:val="53D11E97"/>
    <w:rsid w:val="53DA048F"/>
    <w:rsid w:val="53F13BD1"/>
    <w:rsid w:val="53F51D1A"/>
    <w:rsid w:val="54013371"/>
    <w:rsid w:val="540970AA"/>
    <w:rsid w:val="540C739C"/>
    <w:rsid w:val="54170E0C"/>
    <w:rsid w:val="541B6DFF"/>
    <w:rsid w:val="541F2799"/>
    <w:rsid w:val="54363F27"/>
    <w:rsid w:val="543702AC"/>
    <w:rsid w:val="543B2BBA"/>
    <w:rsid w:val="544F0AE0"/>
    <w:rsid w:val="54536A52"/>
    <w:rsid w:val="54542007"/>
    <w:rsid w:val="545F6B3B"/>
    <w:rsid w:val="54686147"/>
    <w:rsid w:val="5471238A"/>
    <w:rsid w:val="547E288E"/>
    <w:rsid w:val="548556F6"/>
    <w:rsid w:val="549241DC"/>
    <w:rsid w:val="54933CBC"/>
    <w:rsid w:val="54946551"/>
    <w:rsid w:val="54995DE9"/>
    <w:rsid w:val="54AC16E9"/>
    <w:rsid w:val="54AD5D3D"/>
    <w:rsid w:val="54BC75B4"/>
    <w:rsid w:val="54C10959"/>
    <w:rsid w:val="54C4472E"/>
    <w:rsid w:val="54C55C3D"/>
    <w:rsid w:val="54CC01C4"/>
    <w:rsid w:val="54D22078"/>
    <w:rsid w:val="54E04B33"/>
    <w:rsid w:val="54E37251"/>
    <w:rsid w:val="54EE5F0E"/>
    <w:rsid w:val="54F94C7B"/>
    <w:rsid w:val="54FB02F6"/>
    <w:rsid w:val="5506307F"/>
    <w:rsid w:val="5509215F"/>
    <w:rsid w:val="550F54E0"/>
    <w:rsid w:val="55133FFA"/>
    <w:rsid w:val="55183943"/>
    <w:rsid w:val="5519696D"/>
    <w:rsid w:val="5519788B"/>
    <w:rsid w:val="55232584"/>
    <w:rsid w:val="55285011"/>
    <w:rsid w:val="55295D86"/>
    <w:rsid w:val="552B02ED"/>
    <w:rsid w:val="553A3EB5"/>
    <w:rsid w:val="553F04E6"/>
    <w:rsid w:val="55412F58"/>
    <w:rsid w:val="55470E81"/>
    <w:rsid w:val="55476368"/>
    <w:rsid w:val="555F7029"/>
    <w:rsid w:val="55674DE2"/>
    <w:rsid w:val="556A0D85"/>
    <w:rsid w:val="55755C95"/>
    <w:rsid w:val="558034E0"/>
    <w:rsid w:val="55AB325F"/>
    <w:rsid w:val="55B3134A"/>
    <w:rsid w:val="55BF1646"/>
    <w:rsid w:val="55BF1E88"/>
    <w:rsid w:val="55C3146C"/>
    <w:rsid w:val="55C42826"/>
    <w:rsid w:val="55CF3A4D"/>
    <w:rsid w:val="55D867E4"/>
    <w:rsid w:val="55D9178E"/>
    <w:rsid w:val="55E913A5"/>
    <w:rsid w:val="55E96E78"/>
    <w:rsid w:val="55ED6647"/>
    <w:rsid w:val="55F461DE"/>
    <w:rsid w:val="55F8746C"/>
    <w:rsid w:val="55FA16C2"/>
    <w:rsid w:val="55FA59C9"/>
    <w:rsid w:val="55FB6F33"/>
    <w:rsid w:val="560327BA"/>
    <w:rsid w:val="560E6967"/>
    <w:rsid w:val="561261FC"/>
    <w:rsid w:val="56196A90"/>
    <w:rsid w:val="561B1B2F"/>
    <w:rsid w:val="561C3B1C"/>
    <w:rsid w:val="562066C6"/>
    <w:rsid w:val="562200BE"/>
    <w:rsid w:val="56273DBA"/>
    <w:rsid w:val="5641673A"/>
    <w:rsid w:val="56461488"/>
    <w:rsid w:val="564D6670"/>
    <w:rsid w:val="565714AB"/>
    <w:rsid w:val="56581873"/>
    <w:rsid w:val="565F699B"/>
    <w:rsid w:val="566C12EB"/>
    <w:rsid w:val="566D4DF7"/>
    <w:rsid w:val="567A28DD"/>
    <w:rsid w:val="56887925"/>
    <w:rsid w:val="56903754"/>
    <w:rsid w:val="56985209"/>
    <w:rsid w:val="56A07B9A"/>
    <w:rsid w:val="56A8156A"/>
    <w:rsid w:val="56AF6B60"/>
    <w:rsid w:val="56B86A4F"/>
    <w:rsid w:val="56BF29BD"/>
    <w:rsid w:val="56C8670A"/>
    <w:rsid w:val="56F032E4"/>
    <w:rsid w:val="56F30F40"/>
    <w:rsid w:val="56F47C5E"/>
    <w:rsid w:val="56F77A6D"/>
    <w:rsid w:val="56FA0940"/>
    <w:rsid w:val="570643BB"/>
    <w:rsid w:val="5716791A"/>
    <w:rsid w:val="571924AE"/>
    <w:rsid w:val="571E5838"/>
    <w:rsid w:val="572575AD"/>
    <w:rsid w:val="57312F22"/>
    <w:rsid w:val="57313945"/>
    <w:rsid w:val="573861A9"/>
    <w:rsid w:val="57396FCC"/>
    <w:rsid w:val="573C6E44"/>
    <w:rsid w:val="5753231F"/>
    <w:rsid w:val="57573EBA"/>
    <w:rsid w:val="576F4D44"/>
    <w:rsid w:val="57725029"/>
    <w:rsid w:val="577B09BA"/>
    <w:rsid w:val="578A682A"/>
    <w:rsid w:val="57912D32"/>
    <w:rsid w:val="57A12314"/>
    <w:rsid w:val="57AE4BD7"/>
    <w:rsid w:val="57C47377"/>
    <w:rsid w:val="57C52A3D"/>
    <w:rsid w:val="57C96E2B"/>
    <w:rsid w:val="57D45223"/>
    <w:rsid w:val="57F23F85"/>
    <w:rsid w:val="58022B10"/>
    <w:rsid w:val="58024F43"/>
    <w:rsid w:val="58027E7A"/>
    <w:rsid w:val="5810654F"/>
    <w:rsid w:val="58106FDE"/>
    <w:rsid w:val="5817181E"/>
    <w:rsid w:val="581A6B75"/>
    <w:rsid w:val="582102E4"/>
    <w:rsid w:val="582B2E8D"/>
    <w:rsid w:val="5836533E"/>
    <w:rsid w:val="58377515"/>
    <w:rsid w:val="58384762"/>
    <w:rsid w:val="58666187"/>
    <w:rsid w:val="58690BA6"/>
    <w:rsid w:val="58744FA7"/>
    <w:rsid w:val="587662D9"/>
    <w:rsid w:val="58922D02"/>
    <w:rsid w:val="58A65C2C"/>
    <w:rsid w:val="58BC5F90"/>
    <w:rsid w:val="58BE1515"/>
    <w:rsid w:val="58C23ADD"/>
    <w:rsid w:val="58C80369"/>
    <w:rsid w:val="58D10149"/>
    <w:rsid w:val="58D33F24"/>
    <w:rsid w:val="58D475FF"/>
    <w:rsid w:val="58E92BCB"/>
    <w:rsid w:val="58FF474F"/>
    <w:rsid w:val="59031DC7"/>
    <w:rsid w:val="590B414B"/>
    <w:rsid w:val="5913230C"/>
    <w:rsid w:val="5916455A"/>
    <w:rsid w:val="59227DE7"/>
    <w:rsid w:val="59285C39"/>
    <w:rsid w:val="592C599D"/>
    <w:rsid w:val="59380FE2"/>
    <w:rsid w:val="59383321"/>
    <w:rsid w:val="593E55FC"/>
    <w:rsid w:val="594C3151"/>
    <w:rsid w:val="594C4888"/>
    <w:rsid w:val="595A122B"/>
    <w:rsid w:val="595F460A"/>
    <w:rsid w:val="596123D3"/>
    <w:rsid w:val="596631FF"/>
    <w:rsid w:val="596A7B84"/>
    <w:rsid w:val="596E4A8E"/>
    <w:rsid w:val="596F169E"/>
    <w:rsid w:val="596F6163"/>
    <w:rsid w:val="5981068F"/>
    <w:rsid w:val="59945D53"/>
    <w:rsid w:val="599747E2"/>
    <w:rsid w:val="59A45AEF"/>
    <w:rsid w:val="59BB0018"/>
    <w:rsid w:val="59C53DC9"/>
    <w:rsid w:val="59C748EB"/>
    <w:rsid w:val="59C9222C"/>
    <w:rsid w:val="59CD2FE6"/>
    <w:rsid w:val="59D50DD7"/>
    <w:rsid w:val="59D57BD7"/>
    <w:rsid w:val="59D779E4"/>
    <w:rsid w:val="59DA657B"/>
    <w:rsid w:val="59E4389B"/>
    <w:rsid w:val="59EC45EA"/>
    <w:rsid w:val="59EF33AD"/>
    <w:rsid w:val="5A0335B8"/>
    <w:rsid w:val="5A082867"/>
    <w:rsid w:val="5A196932"/>
    <w:rsid w:val="5A2448B0"/>
    <w:rsid w:val="5A2533FF"/>
    <w:rsid w:val="5A2B3B77"/>
    <w:rsid w:val="5A2F266C"/>
    <w:rsid w:val="5A3D1E94"/>
    <w:rsid w:val="5A404520"/>
    <w:rsid w:val="5A4851A7"/>
    <w:rsid w:val="5A4C55D7"/>
    <w:rsid w:val="5A664175"/>
    <w:rsid w:val="5A72712E"/>
    <w:rsid w:val="5A7C149D"/>
    <w:rsid w:val="5A7C407E"/>
    <w:rsid w:val="5A882A85"/>
    <w:rsid w:val="5AAC2295"/>
    <w:rsid w:val="5AAE19A0"/>
    <w:rsid w:val="5AB25AF7"/>
    <w:rsid w:val="5AB80858"/>
    <w:rsid w:val="5AB82D2A"/>
    <w:rsid w:val="5ACB0AE9"/>
    <w:rsid w:val="5AD51F7B"/>
    <w:rsid w:val="5ADD5658"/>
    <w:rsid w:val="5AE93D74"/>
    <w:rsid w:val="5B031778"/>
    <w:rsid w:val="5B032BCD"/>
    <w:rsid w:val="5B034343"/>
    <w:rsid w:val="5B0905FC"/>
    <w:rsid w:val="5B186340"/>
    <w:rsid w:val="5B1A41DD"/>
    <w:rsid w:val="5B20400F"/>
    <w:rsid w:val="5B2B57E0"/>
    <w:rsid w:val="5B495006"/>
    <w:rsid w:val="5B4C7D1E"/>
    <w:rsid w:val="5B4E5867"/>
    <w:rsid w:val="5B5459A5"/>
    <w:rsid w:val="5B58571C"/>
    <w:rsid w:val="5B5E5BBC"/>
    <w:rsid w:val="5B5F73B1"/>
    <w:rsid w:val="5B705677"/>
    <w:rsid w:val="5B7065FC"/>
    <w:rsid w:val="5B7729A5"/>
    <w:rsid w:val="5B782D7A"/>
    <w:rsid w:val="5B91052B"/>
    <w:rsid w:val="5BA670A5"/>
    <w:rsid w:val="5BA97F8A"/>
    <w:rsid w:val="5BAA1255"/>
    <w:rsid w:val="5BAF3781"/>
    <w:rsid w:val="5BB05C30"/>
    <w:rsid w:val="5BC10F0A"/>
    <w:rsid w:val="5BD23717"/>
    <w:rsid w:val="5BD70A4A"/>
    <w:rsid w:val="5BE47A6D"/>
    <w:rsid w:val="5BE47DF7"/>
    <w:rsid w:val="5BF05B69"/>
    <w:rsid w:val="5BF16BDF"/>
    <w:rsid w:val="5BF2239A"/>
    <w:rsid w:val="5BF46705"/>
    <w:rsid w:val="5BF811C4"/>
    <w:rsid w:val="5C016A00"/>
    <w:rsid w:val="5C0A69AC"/>
    <w:rsid w:val="5C0C07B1"/>
    <w:rsid w:val="5C0D3829"/>
    <w:rsid w:val="5C1500F6"/>
    <w:rsid w:val="5C154DAC"/>
    <w:rsid w:val="5C1C1ADE"/>
    <w:rsid w:val="5C2672FF"/>
    <w:rsid w:val="5C292F72"/>
    <w:rsid w:val="5C3A2AAB"/>
    <w:rsid w:val="5C3C5630"/>
    <w:rsid w:val="5C4634FC"/>
    <w:rsid w:val="5C4F4845"/>
    <w:rsid w:val="5C50343B"/>
    <w:rsid w:val="5C530DAC"/>
    <w:rsid w:val="5C5928B7"/>
    <w:rsid w:val="5C683FC4"/>
    <w:rsid w:val="5C786898"/>
    <w:rsid w:val="5C7C62B0"/>
    <w:rsid w:val="5C7E3212"/>
    <w:rsid w:val="5C7E4EBF"/>
    <w:rsid w:val="5C7F5720"/>
    <w:rsid w:val="5C8A0F19"/>
    <w:rsid w:val="5C8F7972"/>
    <w:rsid w:val="5C900E74"/>
    <w:rsid w:val="5C970AF9"/>
    <w:rsid w:val="5CA76652"/>
    <w:rsid w:val="5CAA6579"/>
    <w:rsid w:val="5CAB10BE"/>
    <w:rsid w:val="5CB16A35"/>
    <w:rsid w:val="5CBD042F"/>
    <w:rsid w:val="5CBE5026"/>
    <w:rsid w:val="5CCE0A63"/>
    <w:rsid w:val="5CD42CD0"/>
    <w:rsid w:val="5CD926F4"/>
    <w:rsid w:val="5CE62072"/>
    <w:rsid w:val="5CEC70D6"/>
    <w:rsid w:val="5CF320A9"/>
    <w:rsid w:val="5D036F60"/>
    <w:rsid w:val="5D122994"/>
    <w:rsid w:val="5D18198B"/>
    <w:rsid w:val="5D242B64"/>
    <w:rsid w:val="5D2D072C"/>
    <w:rsid w:val="5D3915C9"/>
    <w:rsid w:val="5D4A25A3"/>
    <w:rsid w:val="5D4C19FB"/>
    <w:rsid w:val="5D4E78CF"/>
    <w:rsid w:val="5D5371FE"/>
    <w:rsid w:val="5D627C5F"/>
    <w:rsid w:val="5D8879D5"/>
    <w:rsid w:val="5D903CF0"/>
    <w:rsid w:val="5DA136EF"/>
    <w:rsid w:val="5DAD22FE"/>
    <w:rsid w:val="5DAD2384"/>
    <w:rsid w:val="5DB63552"/>
    <w:rsid w:val="5DBD5F3F"/>
    <w:rsid w:val="5DC2296C"/>
    <w:rsid w:val="5DC47303"/>
    <w:rsid w:val="5DC514F6"/>
    <w:rsid w:val="5DCA32B3"/>
    <w:rsid w:val="5DD24FEA"/>
    <w:rsid w:val="5DD31FCA"/>
    <w:rsid w:val="5DD626F7"/>
    <w:rsid w:val="5DEC16D2"/>
    <w:rsid w:val="5DFD7FC3"/>
    <w:rsid w:val="5E0714D7"/>
    <w:rsid w:val="5E1079BA"/>
    <w:rsid w:val="5E14656D"/>
    <w:rsid w:val="5E151223"/>
    <w:rsid w:val="5E1F1B68"/>
    <w:rsid w:val="5E2002DA"/>
    <w:rsid w:val="5E262F8C"/>
    <w:rsid w:val="5E265F24"/>
    <w:rsid w:val="5E287442"/>
    <w:rsid w:val="5E3973A0"/>
    <w:rsid w:val="5E3B48F0"/>
    <w:rsid w:val="5E3D141E"/>
    <w:rsid w:val="5E412A33"/>
    <w:rsid w:val="5E4B27FD"/>
    <w:rsid w:val="5E4C5314"/>
    <w:rsid w:val="5E4E3866"/>
    <w:rsid w:val="5E511F75"/>
    <w:rsid w:val="5E5878AE"/>
    <w:rsid w:val="5E620B39"/>
    <w:rsid w:val="5E642F55"/>
    <w:rsid w:val="5E713BE1"/>
    <w:rsid w:val="5E791102"/>
    <w:rsid w:val="5E844EF6"/>
    <w:rsid w:val="5E88777D"/>
    <w:rsid w:val="5E917908"/>
    <w:rsid w:val="5E9B4A1E"/>
    <w:rsid w:val="5EBE06BB"/>
    <w:rsid w:val="5EBE59BD"/>
    <w:rsid w:val="5EC431F5"/>
    <w:rsid w:val="5EC70A65"/>
    <w:rsid w:val="5ECD6F1E"/>
    <w:rsid w:val="5ED029FF"/>
    <w:rsid w:val="5ED10ED7"/>
    <w:rsid w:val="5ED24961"/>
    <w:rsid w:val="5ED62CC4"/>
    <w:rsid w:val="5ED9709B"/>
    <w:rsid w:val="5EE47620"/>
    <w:rsid w:val="5EF55413"/>
    <w:rsid w:val="5EFF46F6"/>
    <w:rsid w:val="5F085725"/>
    <w:rsid w:val="5F284FB0"/>
    <w:rsid w:val="5F317842"/>
    <w:rsid w:val="5F44213B"/>
    <w:rsid w:val="5F450011"/>
    <w:rsid w:val="5F557DBB"/>
    <w:rsid w:val="5F593EB0"/>
    <w:rsid w:val="5F7768B8"/>
    <w:rsid w:val="5F7B6A0F"/>
    <w:rsid w:val="5F8A5C87"/>
    <w:rsid w:val="5F9B72B8"/>
    <w:rsid w:val="5F9C7E7B"/>
    <w:rsid w:val="5FBA2B3A"/>
    <w:rsid w:val="5FD31716"/>
    <w:rsid w:val="5FD64660"/>
    <w:rsid w:val="5FDB2EAF"/>
    <w:rsid w:val="5FDB64D1"/>
    <w:rsid w:val="5FDE319B"/>
    <w:rsid w:val="5FE730F3"/>
    <w:rsid w:val="5FE74C07"/>
    <w:rsid w:val="60006EBE"/>
    <w:rsid w:val="60022D25"/>
    <w:rsid w:val="60034F48"/>
    <w:rsid w:val="600427FB"/>
    <w:rsid w:val="600729E7"/>
    <w:rsid w:val="6018674D"/>
    <w:rsid w:val="601C49D5"/>
    <w:rsid w:val="601D24BC"/>
    <w:rsid w:val="602366FF"/>
    <w:rsid w:val="602C0A92"/>
    <w:rsid w:val="60382E9A"/>
    <w:rsid w:val="603C50BE"/>
    <w:rsid w:val="603F3A58"/>
    <w:rsid w:val="604B14F2"/>
    <w:rsid w:val="60562AD6"/>
    <w:rsid w:val="60632E03"/>
    <w:rsid w:val="60724B15"/>
    <w:rsid w:val="60856F1B"/>
    <w:rsid w:val="6086763D"/>
    <w:rsid w:val="609B6A47"/>
    <w:rsid w:val="60A0057C"/>
    <w:rsid w:val="60B12BE9"/>
    <w:rsid w:val="60B56264"/>
    <w:rsid w:val="60B6057B"/>
    <w:rsid w:val="60B9603A"/>
    <w:rsid w:val="60BB759B"/>
    <w:rsid w:val="60C16FC9"/>
    <w:rsid w:val="60C812D1"/>
    <w:rsid w:val="60CE7BBA"/>
    <w:rsid w:val="60CF5584"/>
    <w:rsid w:val="60D04D4E"/>
    <w:rsid w:val="60D22CB4"/>
    <w:rsid w:val="60DD0B64"/>
    <w:rsid w:val="60F024CE"/>
    <w:rsid w:val="60F07023"/>
    <w:rsid w:val="60F10F09"/>
    <w:rsid w:val="61040A0F"/>
    <w:rsid w:val="6115288D"/>
    <w:rsid w:val="612A4A61"/>
    <w:rsid w:val="612B274E"/>
    <w:rsid w:val="61361E39"/>
    <w:rsid w:val="613840A6"/>
    <w:rsid w:val="61397A3C"/>
    <w:rsid w:val="613C5507"/>
    <w:rsid w:val="613D050E"/>
    <w:rsid w:val="614269A1"/>
    <w:rsid w:val="61456E2B"/>
    <w:rsid w:val="61463E29"/>
    <w:rsid w:val="61471FEA"/>
    <w:rsid w:val="61516FBB"/>
    <w:rsid w:val="61530B34"/>
    <w:rsid w:val="615B053C"/>
    <w:rsid w:val="61604E93"/>
    <w:rsid w:val="616E6275"/>
    <w:rsid w:val="617C3F62"/>
    <w:rsid w:val="617E05A4"/>
    <w:rsid w:val="619138DC"/>
    <w:rsid w:val="61916BFE"/>
    <w:rsid w:val="61A32D93"/>
    <w:rsid w:val="61A77FD2"/>
    <w:rsid w:val="61A970EF"/>
    <w:rsid w:val="61AC5AAD"/>
    <w:rsid w:val="61B87774"/>
    <w:rsid w:val="61D901E3"/>
    <w:rsid w:val="61EF4743"/>
    <w:rsid w:val="61F21DD5"/>
    <w:rsid w:val="61F259DE"/>
    <w:rsid w:val="61F3398E"/>
    <w:rsid w:val="620B208A"/>
    <w:rsid w:val="621C08B5"/>
    <w:rsid w:val="622276CE"/>
    <w:rsid w:val="62252629"/>
    <w:rsid w:val="62264009"/>
    <w:rsid w:val="622962FD"/>
    <w:rsid w:val="622F04F8"/>
    <w:rsid w:val="62363ACF"/>
    <w:rsid w:val="623A2B8D"/>
    <w:rsid w:val="623C0775"/>
    <w:rsid w:val="623E288B"/>
    <w:rsid w:val="623F7349"/>
    <w:rsid w:val="62553759"/>
    <w:rsid w:val="62565761"/>
    <w:rsid w:val="6261318C"/>
    <w:rsid w:val="62736CA9"/>
    <w:rsid w:val="627B55AC"/>
    <w:rsid w:val="627E5AE1"/>
    <w:rsid w:val="62882735"/>
    <w:rsid w:val="628974FF"/>
    <w:rsid w:val="628B2B8D"/>
    <w:rsid w:val="62921B97"/>
    <w:rsid w:val="62967212"/>
    <w:rsid w:val="62990C6C"/>
    <w:rsid w:val="62A56AA1"/>
    <w:rsid w:val="62C63CE6"/>
    <w:rsid w:val="62C96A3E"/>
    <w:rsid w:val="62D3725A"/>
    <w:rsid w:val="62E47002"/>
    <w:rsid w:val="62E63C9C"/>
    <w:rsid w:val="62EE53F3"/>
    <w:rsid w:val="62F0342F"/>
    <w:rsid w:val="62F0486B"/>
    <w:rsid w:val="62F35983"/>
    <w:rsid w:val="6307498A"/>
    <w:rsid w:val="6312567D"/>
    <w:rsid w:val="631337FB"/>
    <w:rsid w:val="63194AAA"/>
    <w:rsid w:val="6320158D"/>
    <w:rsid w:val="63226D88"/>
    <w:rsid w:val="6325736F"/>
    <w:rsid w:val="632823D7"/>
    <w:rsid w:val="632D024E"/>
    <w:rsid w:val="632D790E"/>
    <w:rsid w:val="6335446D"/>
    <w:rsid w:val="633741D8"/>
    <w:rsid w:val="633B6248"/>
    <w:rsid w:val="63414D03"/>
    <w:rsid w:val="63416739"/>
    <w:rsid w:val="63436A11"/>
    <w:rsid w:val="635207B9"/>
    <w:rsid w:val="63620B71"/>
    <w:rsid w:val="63663083"/>
    <w:rsid w:val="63697A8A"/>
    <w:rsid w:val="636B584B"/>
    <w:rsid w:val="63732E49"/>
    <w:rsid w:val="63826EC5"/>
    <w:rsid w:val="639B0397"/>
    <w:rsid w:val="63A73722"/>
    <w:rsid w:val="63A75653"/>
    <w:rsid w:val="63A97F3E"/>
    <w:rsid w:val="63AB04F6"/>
    <w:rsid w:val="63BA194E"/>
    <w:rsid w:val="63BE19B7"/>
    <w:rsid w:val="63BF665B"/>
    <w:rsid w:val="63E04826"/>
    <w:rsid w:val="63EB2A16"/>
    <w:rsid w:val="63F7262A"/>
    <w:rsid w:val="640824B8"/>
    <w:rsid w:val="640A4959"/>
    <w:rsid w:val="640A79B9"/>
    <w:rsid w:val="641E41BB"/>
    <w:rsid w:val="64202966"/>
    <w:rsid w:val="6421562E"/>
    <w:rsid w:val="64230CD8"/>
    <w:rsid w:val="643326A5"/>
    <w:rsid w:val="64445119"/>
    <w:rsid w:val="645C6690"/>
    <w:rsid w:val="645C72A2"/>
    <w:rsid w:val="6462451C"/>
    <w:rsid w:val="64711B1D"/>
    <w:rsid w:val="647E23C5"/>
    <w:rsid w:val="6487389D"/>
    <w:rsid w:val="6488728F"/>
    <w:rsid w:val="649638E1"/>
    <w:rsid w:val="64965527"/>
    <w:rsid w:val="649767ED"/>
    <w:rsid w:val="649928CB"/>
    <w:rsid w:val="64A64D7F"/>
    <w:rsid w:val="64A711EA"/>
    <w:rsid w:val="64A90C1E"/>
    <w:rsid w:val="64AE2968"/>
    <w:rsid w:val="64B018F9"/>
    <w:rsid w:val="64B665BF"/>
    <w:rsid w:val="64B86236"/>
    <w:rsid w:val="64C54FB5"/>
    <w:rsid w:val="64D467FA"/>
    <w:rsid w:val="64E420A6"/>
    <w:rsid w:val="64EE14BE"/>
    <w:rsid w:val="64F37EF4"/>
    <w:rsid w:val="6502142A"/>
    <w:rsid w:val="651B579F"/>
    <w:rsid w:val="651C1090"/>
    <w:rsid w:val="652B7D05"/>
    <w:rsid w:val="65332996"/>
    <w:rsid w:val="65347620"/>
    <w:rsid w:val="6538018C"/>
    <w:rsid w:val="65416DE1"/>
    <w:rsid w:val="65450612"/>
    <w:rsid w:val="654E3732"/>
    <w:rsid w:val="655D0247"/>
    <w:rsid w:val="65677B7C"/>
    <w:rsid w:val="6570089C"/>
    <w:rsid w:val="65756DF7"/>
    <w:rsid w:val="6586382B"/>
    <w:rsid w:val="65893EE1"/>
    <w:rsid w:val="658F4213"/>
    <w:rsid w:val="659C7481"/>
    <w:rsid w:val="65A26562"/>
    <w:rsid w:val="65C44825"/>
    <w:rsid w:val="65C96959"/>
    <w:rsid w:val="65D34C2B"/>
    <w:rsid w:val="65D51093"/>
    <w:rsid w:val="65D741E4"/>
    <w:rsid w:val="65DD15BA"/>
    <w:rsid w:val="65DE6340"/>
    <w:rsid w:val="65ED28E3"/>
    <w:rsid w:val="66043014"/>
    <w:rsid w:val="6615280F"/>
    <w:rsid w:val="661C721B"/>
    <w:rsid w:val="66344F4A"/>
    <w:rsid w:val="66380A83"/>
    <w:rsid w:val="663B73E8"/>
    <w:rsid w:val="66402501"/>
    <w:rsid w:val="6647551D"/>
    <w:rsid w:val="664C53E4"/>
    <w:rsid w:val="66502EA6"/>
    <w:rsid w:val="665877B7"/>
    <w:rsid w:val="666141C5"/>
    <w:rsid w:val="66637C01"/>
    <w:rsid w:val="667F021C"/>
    <w:rsid w:val="668C2FD2"/>
    <w:rsid w:val="6690797C"/>
    <w:rsid w:val="669C5D6C"/>
    <w:rsid w:val="66A6683B"/>
    <w:rsid w:val="66A818A6"/>
    <w:rsid w:val="66AE6724"/>
    <w:rsid w:val="66B32FDB"/>
    <w:rsid w:val="66B74EA6"/>
    <w:rsid w:val="66C8199B"/>
    <w:rsid w:val="66CA6087"/>
    <w:rsid w:val="66D00C5D"/>
    <w:rsid w:val="66D71DFC"/>
    <w:rsid w:val="66DE493B"/>
    <w:rsid w:val="66E8393F"/>
    <w:rsid w:val="66ED186A"/>
    <w:rsid w:val="66F95D96"/>
    <w:rsid w:val="670162A3"/>
    <w:rsid w:val="670653DB"/>
    <w:rsid w:val="67071787"/>
    <w:rsid w:val="670D5776"/>
    <w:rsid w:val="670D7DD2"/>
    <w:rsid w:val="671D5DED"/>
    <w:rsid w:val="67222845"/>
    <w:rsid w:val="673002E3"/>
    <w:rsid w:val="67331B91"/>
    <w:rsid w:val="6738116D"/>
    <w:rsid w:val="67401E64"/>
    <w:rsid w:val="67404FE4"/>
    <w:rsid w:val="67431E06"/>
    <w:rsid w:val="67442C96"/>
    <w:rsid w:val="674B34B9"/>
    <w:rsid w:val="674E4077"/>
    <w:rsid w:val="67536BDC"/>
    <w:rsid w:val="675B561C"/>
    <w:rsid w:val="675E6A32"/>
    <w:rsid w:val="6765256F"/>
    <w:rsid w:val="676B5FA5"/>
    <w:rsid w:val="678B33EC"/>
    <w:rsid w:val="679D2BC1"/>
    <w:rsid w:val="679E4CEE"/>
    <w:rsid w:val="67AF6ACE"/>
    <w:rsid w:val="67B21F4D"/>
    <w:rsid w:val="67B64DF8"/>
    <w:rsid w:val="67B716FA"/>
    <w:rsid w:val="67BC7470"/>
    <w:rsid w:val="67C0319C"/>
    <w:rsid w:val="67CC32AD"/>
    <w:rsid w:val="67CD5CD2"/>
    <w:rsid w:val="67D302B9"/>
    <w:rsid w:val="67DD5D6F"/>
    <w:rsid w:val="67DF1D23"/>
    <w:rsid w:val="67EC5655"/>
    <w:rsid w:val="67EF6180"/>
    <w:rsid w:val="67F13319"/>
    <w:rsid w:val="67F13B80"/>
    <w:rsid w:val="67FC3E85"/>
    <w:rsid w:val="67FF6200"/>
    <w:rsid w:val="6800683C"/>
    <w:rsid w:val="68037DDA"/>
    <w:rsid w:val="680E3241"/>
    <w:rsid w:val="682265F7"/>
    <w:rsid w:val="682320BB"/>
    <w:rsid w:val="682A7C45"/>
    <w:rsid w:val="683078E3"/>
    <w:rsid w:val="683C57D9"/>
    <w:rsid w:val="68624E22"/>
    <w:rsid w:val="6864199B"/>
    <w:rsid w:val="68667101"/>
    <w:rsid w:val="686C7038"/>
    <w:rsid w:val="686E6DDC"/>
    <w:rsid w:val="6870444C"/>
    <w:rsid w:val="688016BE"/>
    <w:rsid w:val="68812E30"/>
    <w:rsid w:val="68930C23"/>
    <w:rsid w:val="68936EED"/>
    <w:rsid w:val="6895134B"/>
    <w:rsid w:val="68A2706C"/>
    <w:rsid w:val="68BD2C7C"/>
    <w:rsid w:val="68C01811"/>
    <w:rsid w:val="68C31187"/>
    <w:rsid w:val="68C526DE"/>
    <w:rsid w:val="68C659C9"/>
    <w:rsid w:val="68D3008A"/>
    <w:rsid w:val="68D541C6"/>
    <w:rsid w:val="68DA6EC8"/>
    <w:rsid w:val="68E01B3E"/>
    <w:rsid w:val="68EB46AB"/>
    <w:rsid w:val="68F74B3A"/>
    <w:rsid w:val="690B1B1D"/>
    <w:rsid w:val="690B691C"/>
    <w:rsid w:val="691B5927"/>
    <w:rsid w:val="692166A9"/>
    <w:rsid w:val="69242C37"/>
    <w:rsid w:val="6925776C"/>
    <w:rsid w:val="692C1C3C"/>
    <w:rsid w:val="69325B0D"/>
    <w:rsid w:val="69334510"/>
    <w:rsid w:val="693407E1"/>
    <w:rsid w:val="693E202E"/>
    <w:rsid w:val="694177DF"/>
    <w:rsid w:val="69487596"/>
    <w:rsid w:val="694947E0"/>
    <w:rsid w:val="695063F1"/>
    <w:rsid w:val="69515ED8"/>
    <w:rsid w:val="695A25B0"/>
    <w:rsid w:val="69684BA0"/>
    <w:rsid w:val="6969166D"/>
    <w:rsid w:val="697D0C7F"/>
    <w:rsid w:val="69870AE4"/>
    <w:rsid w:val="69915792"/>
    <w:rsid w:val="69967304"/>
    <w:rsid w:val="69994A33"/>
    <w:rsid w:val="69A64FE6"/>
    <w:rsid w:val="69AC534F"/>
    <w:rsid w:val="69AC5BA8"/>
    <w:rsid w:val="69B741B2"/>
    <w:rsid w:val="69C44746"/>
    <w:rsid w:val="69FA1B26"/>
    <w:rsid w:val="6A032845"/>
    <w:rsid w:val="6A0C6F84"/>
    <w:rsid w:val="6A0E61ED"/>
    <w:rsid w:val="6A157FE3"/>
    <w:rsid w:val="6A216541"/>
    <w:rsid w:val="6A260758"/>
    <w:rsid w:val="6A266866"/>
    <w:rsid w:val="6A2B31DF"/>
    <w:rsid w:val="6A447ABD"/>
    <w:rsid w:val="6A465D5D"/>
    <w:rsid w:val="6A476464"/>
    <w:rsid w:val="6A5B7367"/>
    <w:rsid w:val="6A676E86"/>
    <w:rsid w:val="6A6A1B3C"/>
    <w:rsid w:val="6A6F3387"/>
    <w:rsid w:val="6A700B6C"/>
    <w:rsid w:val="6A751676"/>
    <w:rsid w:val="6A767CAF"/>
    <w:rsid w:val="6A774FF0"/>
    <w:rsid w:val="6A80015D"/>
    <w:rsid w:val="6A80752A"/>
    <w:rsid w:val="6A8136B0"/>
    <w:rsid w:val="6A88494B"/>
    <w:rsid w:val="6A8D7D79"/>
    <w:rsid w:val="6A90508C"/>
    <w:rsid w:val="6A951646"/>
    <w:rsid w:val="6A983DC1"/>
    <w:rsid w:val="6AA04594"/>
    <w:rsid w:val="6AA404A7"/>
    <w:rsid w:val="6AA8374E"/>
    <w:rsid w:val="6AB727BE"/>
    <w:rsid w:val="6ABA1D0A"/>
    <w:rsid w:val="6ABA3DCF"/>
    <w:rsid w:val="6ABC6AC8"/>
    <w:rsid w:val="6AC074F6"/>
    <w:rsid w:val="6AC968AF"/>
    <w:rsid w:val="6ACB2ADE"/>
    <w:rsid w:val="6ACD622E"/>
    <w:rsid w:val="6ACE2B39"/>
    <w:rsid w:val="6AD46121"/>
    <w:rsid w:val="6AD539C0"/>
    <w:rsid w:val="6AE346DF"/>
    <w:rsid w:val="6AED1CC4"/>
    <w:rsid w:val="6AF50392"/>
    <w:rsid w:val="6B107C30"/>
    <w:rsid w:val="6B2B3954"/>
    <w:rsid w:val="6B2F142E"/>
    <w:rsid w:val="6B340555"/>
    <w:rsid w:val="6B3B467E"/>
    <w:rsid w:val="6B673C71"/>
    <w:rsid w:val="6B6856F2"/>
    <w:rsid w:val="6B6A767F"/>
    <w:rsid w:val="6B7560A3"/>
    <w:rsid w:val="6B75610A"/>
    <w:rsid w:val="6B762752"/>
    <w:rsid w:val="6B763C73"/>
    <w:rsid w:val="6B7D2BDC"/>
    <w:rsid w:val="6B853E43"/>
    <w:rsid w:val="6B937F56"/>
    <w:rsid w:val="6BA571E8"/>
    <w:rsid w:val="6BA8673C"/>
    <w:rsid w:val="6BAC5005"/>
    <w:rsid w:val="6BB27605"/>
    <w:rsid w:val="6BB3000A"/>
    <w:rsid w:val="6BB56C95"/>
    <w:rsid w:val="6BBD74AA"/>
    <w:rsid w:val="6BC90479"/>
    <w:rsid w:val="6BDF59B2"/>
    <w:rsid w:val="6BE15359"/>
    <w:rsid w:val="6BFA3912"/>
    <w:rsid w:val="6C074030"/>
    <w:rsid w:val="6C081549"/>
    <w:rsid w:val="6C0863FE"/>
    <w:rsid w:val="6C134DB7"/>
    <w:rsid w:val="6C1865E8"/>
    <w:rsid w:val="6C244AC8"/>
    <w:rsid w:val="6C2B1CAF"/>
    <w:rsid w:val="6C2B2191"/>
    <w:rsid w:val="6C3A62E5"/>
    <w:rsid w:val="6C531CF1"/>
    <w:rsid w:val="6C576815"/>
    <w:rsid w:val="6C5B6FF8"/>
    <w:rsid w:val="6C5C1352"/>
    <w:rsid w:val="6C65735E"/>
    <w:rsid w:val="6C6A7476"/>
    <w:rsid w:val="6C804535"/>
    <w:rsid w:val="6C820390"/>
    <w:rsid w:val="6C820EB7"/>
    <w:rsid w:val="6C862C97"/>
    <w:rsid w:val="6C8D28DC"/>
    <w:rsid w:val="6C9406CC"/>
    <w:rsid w:val="6CA12407"/>
    <w:rsid w:val="6CAD61A4"/>
    <w:rsid w:val="6CBE0415"/>
    <w:rsid w:val="6CD24F2F"/>
    <w:rsid w:val="6CD43EA0"/>
    <w:rsid w:val="6CD4609C"/>
    <w:rsid w:val="6CE427CC"/>
    <w:rsid w:val="6CEB724A"/>
    <w:rsid w:val="6CF27A25"/>
    <w:rsid w:val="6D136A6C"/>
    <w:rsid w:val="6D2855FF"/>
    <w:rsid w:val="6D3751B1"/>
    <w:rsid w:val="6D377207"/>
    <w:rsid w:val="6D490F88"/>
    <w:rsid w:val="6D534749"/>
    <w:rsid w:val="6D7144C9"/>
    <w:rsid w:val="6D754F4A"/>
    <w:rsid w:val="6D7C08DF"/>
    <w:rsid w:val="6D7C3190"/>
    <w:rsid w:val="6D824449"/>
    <w:rsid w:val="6D93465B"/>
    <w:rsid w:val="6DA96E23"/>
    <w:rsid w:val="6DB539D8"/>
    <w:rsid w:val="6DC32374"/>
    <w:rsid w:val="6DD123F2"/>
    <w:rsid w:val="6DD14527"/>
    <w:rsid w:val="6DDC4CB5"/>
    <w:rsid w:val="6DDF104B"/>
    <w:rsid w:val="6DE37BD7"/>
    <w:rsid w:val="6DE9258F"/>
    <w:rsid w:val="6DEB160C"/>
    <w:rsid w:val="6DEB5A18"/>
    <w:rsid w:val="6DF11D76"/>
    <w:rsid w:val="6DF1758A"/>
    <w:rsid w:val="6DF327B3"/>
    <w:rsid w:val="6DFB352D"/>
    <w:rsid w:val="6E030DC2"/>
    <w:rsid w:val="6E04628B"/>
    <w:rsid w:val="6E2975AF"/>
    <w:rsid w:val="6E2E4E22"/>
    <w:rsid w:val="6E383E1C"/>
    <w:rsid w:val="6E4134B7"/>
    <w:rsid w:val="6E522E16"/>
    <w:rsid w:val="6E5A6913"/>
    <w:rsid w:val="6E6629A0"/>
    <w:rsid w:val="6E77047A"/>
    <w:rsid w:val="6E83350B"/>
    <w:rsid w:val="6E893662"/>
    <w:rsid w:val="6E9470FA"/>
    <w:rsid w:val="6E9F66C9"/>
    <w:rsid w:val="6EA6081F"/>
    <w:rsid w:val="6EA670ED"/>
    <w:rsid w:val="6EA972B5"/>
    <w:rsid w:val="6EC32ACE"/>
    <w:rsid w:val="6ECD54D4"/>
    <w:rsid w:val="6ED86FAC"/>
    <w:rsid w:val="6EDB7428"/>
    <w:rsid w:val="6EE74B09"/>
    <w:rsid w:val="6EE91CC3"/>
    <w:rsid w:val="6EE97978"/>
    <w:rsid w:val="6EF12D05"/>
    <w:rsid w:val="6EFA4F03"/>
    <w:rsid w:val="6EFF40B2"/>
    <w:rsid w:val="6F09002E"/>
    <w:rsid w:val="6F257C00"/>
    <w:rsid w:val="6F2858EE"/>
    <w:rsid w:val="6F434023"/>
    <w:rsid w:val="6F4676AA"/>
    <w:rsid w:val="6F50612D"/>
    <w:rsid w:val="6F59685A"/>
    <w:rsid w:val="6F7A3EFD"/>
    <w:rsid w:val="6F7E51BA"/>
    <w:rsid w:val="6F8D0BF1"/>
    <w:rsid w:val="6F8E49CC"/>
    <w:rsid w:val="6FA3111A"/>
    <w:rsid w:val="6FAE4076"/>
    <w:rsid w:val="6FB17F27"/>
    <w:rsid w:val="6FB216B2"/>
    <w:rsid w:val="6FCD45D8"/>
    <w:rsid w:val="6FD261DF"/>
    <w:rsid w:val="6FD85C14"/>
    <w:rsid w:val="6FDE075C"/>
    <w:rsid w:val="6FF437A1"/>
    <w:rsid w:val="6FF52140"/>
    <w:rsid w:val="70027DC3"/>
    <w:rsid w:val="70043ED8"/>
    <w:rsid w:val="700852BE"/>
    <w:rsid w:val="702C203B"/>
    <w:rsid w:val="70363BBF"/>
    <w:rsid w:val="703A1840"/>
    <w:rsid w:val="7040663D"/>
    <w:rsid w:val="70455010"/>
    <w:rsid w:val="704A221F"/>
    <w:rsid w:val="704B7575"/>
    <w:rsid w:val="70555C16"/>
    <w:rsid w:val="706A082A"/>
    <w:rsid w:val="70787679"/>
    <w:rsid w:val="707D4854"/>
    <w:rsid w:val="7089076F"/>
    <w:rsid w:val="708D4E7F"/>
    <w:rsid w:val="70A13E1D"/>
    <w:rsid w:val="70A25D18"/>
    <w:rsid w:val="70B047C5"/>
    <w:rsid w:val="70BF007E"/>
    <w:rsid w:val="70C2726D"/>
    <w:rsid w:val="70C43F6B"/>
    <w:rsid w:val="70CC7363"/>
    <w:rsid w:val="70CD7B80"/>
    <w:rsid w:val="70D77613"/>
    <w:rsid w:val="70DE24F6"/>
    <w:rsid w:val="70DE42C2"/>
    <w:rsid w:val="70EE2F2A"/>
    <w:rsid w:val="70FE34E0"/>
    <w:rsid w:val="70FE4B80"/>
    <w:rsid w:val="71027954"/>
    <w:rsid w:val="71055980"/>
    <w:rsid w:val="71241529"/>
    <w:rsid w:val="71331F6F"/>
    <w:rsid w:val="713573AD"/>
    <w:rsid w:val="71434F45"/>
    <w:rsid w:val="71437E7B"/>
    <w:rsid w:val="71456350"/>
    <w:rsid w:val="714A4A46"/>
    <w:rsid w:val="7153660D"/>
    <w:rsid w:val="71536EEE"/>
    <w:rsid w:val="7157151C"/>
    <w:rsid w:val="71576F07"/>
    <w:rsid w:val="715B3D76"/>
    <w:rsid w:val="71694622"/>
    <w:rsid w:val="71727383"/>
    <w:rsid w:val="71803D4F"/>
    <w:rsid w:val="71850EC7"/>
    <w:rsid w:val="719A5171"/>
    <w:rsid w:val="71A6355E"/>
    <w:rsid w:val="71A97E78"/>
    <w:rsid w:val="71AB08C6"/>
    <w:rsid w:val="71B0625D"/>
    <w:rsid w:val="71BB1386"/>
    <w:rsid w:val="71C01316"/>
    <w:rsid w:val="71C4668C"/>
    <w:rsid w:val="71C925D8"/>
    <w:rsid w:val="71CF34B4"/>
    <w:rsid w:val="71CF5619"/>
    <w:rsid w:val="71D83F77"/>
    <w:rsid w:val="71DD6679"/>
    <w:rsid w:val="71DE0CA8"/>
    <w:rsid w:val="71E06009"/>
    <w:rsid w:val="71E460C9"/>
    <w:rsid w:val="71F0481A"/>
    <w:rsid w:val="72097A49"/>
    <w:rsid w:val="720E240D"/>
    <w:rsid w:val="72134BB4"/>
    <w:rsid w:val="72220B40"/>
    <w:rsid w:val="724472E7"/>
    <w:rsid w:val="72485038"/>
    <w:rsid w:val="724915F2"/>
    <w:rsid w:val="724E51B7"/>
    <w:rsid w:val="725520E9"/>
    <w:rsid w:val="72592410"/>
    <w:rsid w:val="727B2F7B"/>
    <w:rsid w:val="728017EF"/>
    <w:rsid w:val="72825F9A"/>
    <w:rsid w:val="729316CE"/>
    <w:rsid w:val="72932ED4"/>
    <w:rsid w:val="729445F3"/>
    <w:rsid w:val="729810F6"/>
    <w:rsid w:val="729B1BB8"/>
    <w:rsid w:val="729E6869"/>
    <w:rsid w:val="72A02DBB"/>
    <w:rsid w:val="72A3612E"/>
    <w:rsid w:val="72A915E8"/>
    <w:rsid w:val="72AA7901"/>
    <w:rsid w:val="72AC4273"/>
    <w:rsid w:val="72AF717F"/>
    <w:rsid w:val="72BF18A6"/>
    <w:rsid w:val="72C846A9"/>
    <w:rsid w:val="72CE6164"/>
    <w:rsid w:val="72DC4CC4"/>
    <w:rsid w:val="72E7620B"/>
    <w:rsid w:val="72EB207D"/>
    <w:rsid w:val="72F65962"/>
    <w:rsid w:val="72F74755"/>
    <w:rsid w:val="72FA6E23"/>
    <w:rsid w:val="72FF278F"/>
    <w:rsid w:val="73032CD0"/>
    <w:rsid w:val="730F005A"/>
    <w:rsid w:val="73147F86"/>
    <w:rsid w:val="73151632"/>
    <w:rsid w:val="73151AE4"/>
    <w:rsid w:val="732E74E9"/>
    <w:rsid w:val="734710CD"/>
    <w:rsid w:val="73574096"/>
    <w:rsid w:val="736E3DB6"/>
    <w:rsid w:val="7370225E"/>
    <w:rsid w:val="73714CD1"/>
    <w:rsid w:val="73C119EF"/>
    <w:rsid w:val="73C73C67"/>
    <w:rsid w:val="73CD5764"/>
    <w:rsid w:val="73D42FAF"/>
    <w:rsid w:val="73D802B7"/>
    <w:rsid w:val="73E03EBF"/>
    <w:rsid w:val="73E47876"/>
    <w:rsid w:val="73E5171B"/>
    <w:rsid w:val="73ED3578"/>
    <w:rsid w:val="73F33BEA"/>
    <w:rsid w:val="73F55481"/>
    <w:rsid w:val="73F70871"/>
    <w:rsid w:val="73FF39AC"/>
    <w:rsid w:val="7408709C"/>
    <w:rsid w:val="740D4B93"/>
    <w:rsid w:val="740F01F6"/>
    <w:rsid w:val="740F0E80"/>
    <w:rsid w:val="74112FB3"/>
    <w:rsid w:val="74175ABA"/>
    <w:rsid w:val="741C6A6D"/>
    <w:rsid w:val="74207A52"/>
    <w:rsid w:val="74275B48"/>
    <w:rsid w:val="742B291A"/>
    <w:rsid w:val="743160E5"/>
    <w:rsid w:val="743D0FA3"/>
    <w:rsid w:val="74402694"/>
    <w:rsid w:val="745C1702"/>
    <w:rsid w:val="745C5594"/>
    <w:rsid w:val="746579EC"/>
    <w:rsid w:val="746F3E8B"/>
    <w:rsid w:val="7470438D"/>
    <w:rsid w:val="747450F3"/>
    <w:rsid w:val="747B717F"/>
    <w:rsid w:val="7493171F"/>
    <w:rsid w:val="74945857"/>
    <w:rsid w:val="749B0D76"/>
    <w:rsid w:val="74A33A56"/>
    <w:rsid w:val="74C41E16"/>
    <w:rsid w:val="74C52106"/>
    <w:rsid w:val="74CB13AD"/>
    <w:rsid w:val="74CE2A36"/>
    <w:rsid w:val="74DA4163"/>
    <w:rsid w:val="74DF5091"/>
    <w:rsid w:val="74E24BD6"/>
    <w:rsid w:val="74E30CFF"/>
    <w:rsid w:val="74E42E8E"/>
    <w:rsid w:val="74E84E0A"/>
    <w:rsid w:val="74FF5B07"/>
    <w:rsid w:val="750014CC"/>
    <w:rsid w:val="75064BC6"/>
    <w:rsid w:val="750B77A4"/>
    <w:rsid w:val="75115CC2"/>
    <w:rsid w:val="7514127D"/>
    <w:rsid w:val="751A2DEF"/>
    <w:rsid w:val="751F2D7E"/>
    <w:rsid w:val="753A5C6D"/>
    <w:rsid w:val="75487C20"/>
    <w:rsid w:val="7556645D"/>
    <w:rsid w:val="756762C8"/>
    <w:rsid w:val="757C35AB"/>
    <w:rsid w:val="759B2FE3"/>
    <w:rsid w:val="759D11E6"/>
    <w:rsid w:val="759D66C9"/>
    <w:rsid w:val="75A130FE"/>
    <w:rsid w:val="75A759C2"/>
    <w:rsid w:val="75B21532"/>
    <w:rsid w:val="75B36B53"/>
    <w:rsid w:val="75B93A4B"/>
    <w:rsid w:val="75BA77B3"/>
    <w:rsid w:val="75C035A2"/>
    <w:rsid w:val="75DC01C6"/>
    <w:rsid w:val="75E046C9"/>
    <w:rsid w:val="75E308DB"/>
    <w:rsid w:val="75F45C08"/>
    <w:rsid w:val="760B0BAD"/>
    <w:rsid w:val="761421AB"/>
    <w:rsid w:val="761D4710"/>
    <w:rsid w:val="76272517"/>
    <w:rsid w:val="762C5FDD"/>
    <w:rsid w:val="762F419A"/>
    <w:rsid w:val="763261A1"/>
    <w:rsid w:val="763A4F4A"/>
    <w:rsid w:val="763C586A"/>
    <w:rsid w:val="7642715F"/>
    <w:rsid w:val="76505DD7"/>
    <w:rsid w:val="765919B3"/>
    <w:rsid w:val="767C0140"/>
    <w:rsid w:val="76837B7A"/>
    <w:rsid w:val="76851964"/>
    <w:rsid w:val="768D3547"/>
    <w:rsid w:val="7693025A"/>
    <w:rsid w:val="76A36926"/>
    <w:rsid w:val="76AD2D6F"/>
    <w:rsid w:val="76B25923"/>
    <w:rsid w:val="76B75D46"/>
    <w:rsid w:val="76B85A2D"/>
    <w:rsid w:val="76BB793B"/>
    <w:rsid w:val="76C36A66"/>
    <w:rsid w:val="76D22A92"/>
    <w:rsid w:val="76EC41EA"/>
    <w:rsid w:val="77086F1C"/>
    <w:rsid w:val="77102341"/>
    <w:rsid w:val="77135EA8"/>
    <w:rsid w:val="7716114F"/>
    <w:rsid w:val="772A335A"/>
    <w:rsid w:val="773911E8"/>
    <w:rsid w:val="773B568A"/>
    <w:rsid w:val="773C5A21"/>
    <w:rsid w:val="7741017A"/>
    <w:rsid w:val="774544C3"/>
    <w:rsid w:val="775C4884"/>
    <w:rsid w:val="777160FB"/>
    <w:rsid w:val="778B41DF"/>
    <w:rsid w:val="77911984"/>
    <w:rsid w:val="77951B00"/>
    <w:rsid w:val="779D6F0E"/>
    <w:rsid w:val="77A332B1"/>
    <w:rsid w:val="77A42A3A"/>
    <w:rsid w:val="77B121BE"/>
    <w:rsid w:val="77BF5DD3"/>
    <w:rsid w:val="77C64387"/>
    <w:rsid w:val="77CA6C4D"/>
    <w:rsid w:val="77CC311B"/>
    <w:rsid w:val="77D14E4E"/>
    <w:rsid w:val="77D341C1"/>
    <w:rsid w:val="77D40411"/>
    <w:rsid w:val="77EA5931"/>
    <w:rsid w:val="77EF3B6F"/>
    <w:rsid w:val="77F732B6"/>
    <w:rsid w:val="78033BEE"/>
    <w:rsid w:val="78082296"/>
    <w:rsid w:val="78103364"/>
    <w:rsid w:val="7811534A"/>
    <w:rsid w:val="781667B2"/>
    <w:rsid w:val="78170B47"/>
    <w:rsid w:val="781B7678"/>
    <w:rsid w:val="78225F28"/>
    <w:rsid w:val="784558AA"/>
    <w:rsid w:val="78473B8E"/>
    <w:rsid w:val="784A2CBF"/>
    <w:rsid w:val="78637EBE"/>
    <w:rsid w:val="78655BC5"/>
    <w:rsid w:val="78663086"/>
    <w:rsid w:val="786F45FF"/>
    <w:rsid w:val="7877328F"/>
    <w:rsid w:val="7883537A"/>
    <w:rsid w:val="788721E8"/>
    <w:rsid w:val="788B6DCF"/>
    <w:rsid w:val="788E63E7"/>
    <w:rsid w:val="788F33A4"/>
    <w:rsid w:val="789F7778"/>
    <w:rsid w:val="78A178FD"/>
    <w:rsid w:val="78BE56D1"/>
    <w:rsid w:val="78C2519B"/>
    <w:rsid w:val="78C47BAC"/>
    <w:rsid w:val="78D25981"/>
    <w:rsid w:val="78DD6954"/>
    <w:rsid w:val="78DF2312"/>
    <w:rsid w:val="78EC3F31"/>
    <w:rsid w:val="790507D7"/>
    <w:rsid w:val="79081E60"/>
    <w:rsid w:val="791A6421"/>
    <w:rsid w:val="79222777"/>
    <w:rsid w:val="792D0574"/>
    <w:rsid w:val="792F4057"/>
    <w:rsid w:val="793232EA"/>
    <w:rsid w:val="793C38D8"/>
    <w:rsid w:val="79440578"/>
    <w:rsid w:val="794D4574"/>
    <w:rsid w:val="794E6335"/>
    <w:rsid w:val="795700CF"/>
    <w:rsid w:val="79640243"/>
    <w:rsid w:val="797F79FA"/>
    <w:rsid w:val="798316D9"/>
    <w:rsid w:val="7983551D"/>
    <w:rsid w:val="79863553"/>
    <w:rsid w:val="79891AA5"/>
    <w:rsid w:val="799533B5"/>
    <w:rsid w:val="79967737"/>
    <w:rsid w:val="799F5F50"/>
    <w:rsid w:val="79A80B5A"/>
    <w:rsid w:val="79AC74DD"/>
    <w:rsid w:val="79B4153C"/>
    <w:rsid w:val="79B55C20"/>
    <w:rsid w:val="79C06514"/>
    <w:rsid w:val="79C33D8E"/>
    <w:rsid w:val="79CB09BA"/>
    <w:rsid w:val="79CB5142"/>
    <w:rsid w:val="79D10E5F"/>
    <w:rsid w:val="79D972D6"/>
    <w:rsid w:val="79DC347F"/>
    <w:rsid w:val="79DF7E35"/>
    <w:rsid w:val="79F66DDB"/>
    <w:rsid w:val="79F91EE0"/>
    <w:rsid w:val="7A182477"/>
    <w:rsid w:val="7A1B6939"/>
    <w:rsid w:val="7A204D71"/>
    <w:rsid w:val="7A261ED5"/>
    <w:rsid w:val="7A27737C"/>
    <w:rsid w:val="7A331FF9"/>
    <w:rsid w:val="7A340F4B"/>
    <w:rsid w:val="7A3F0950"/>
    <w:rsid w:val="7A5D5E2B"/>
    <w:rsid w:val="7A66689C"/>
    <w:rsid w:val="7A6D423D"/>
    <w:rsid w:val="7A6F0E6A"/>
    <w:rsid w:val="7A734F70"/>
    <w:rsid w:val="7A7647A4"/>
    <w:rsid w:val="7A766A7F"/>
    <w:rsid w:val="7A7C60B8"/>
    <w:rsid w:val="7A7C7258"/>
    <w:rsid w:val="7A7E1C3C"/>
    <w:rsid w:val="7A7F18A8"/>
    <w:rsid w:val="7A856EF8"/>
    <w:rsid w:val="7A880424"/>
    <w:rsid w:val="7A9001E9"/>
    <w:rsid w:val="7A9708B0"/>
    <w:rsid w:val="7A9E6D68"/>
    <w:rsid w:val="7AA45E58"/>
    <w:rsid w:val="7AA57C61"/>
    <w:rsid w:val="7AA82A1A"/>
    <w:rsid w:val="7AB43D7F"/>
    <w:rsid w:val="7AC1791A"/>
    <w:rsid w:val="7AD017B7"/>
    <w:rsid w:val="7ADE5E5B"/>
    <w:rsid w:val="7AE23AEC"/>
    <w:rsid w:val="7AE37FF9"/>
    <w:rsid w:val="7AE5247A"/>
    <w:rsid w:val="7AF415DE"/>
    <w:rsid w:val="7AFA315E"/>
    <w:rsid w:val="7B0A34EB"/>
    <w:rsid w:val="7B1A6D6A"/>
    <w:rsid w:val="7B1C4578"/>
    <w:rsid w:val="7B1D0316"/>
    <w:rsid w:val="7B200CC6"/>
    <w:rsid w:val="7B275A32"/>
    <w:rsid w:val="7B2A5F06"/>
    <w:rsid w:val="7B310030"/>
    <w:rsid w:val="7B34380E"/>
    <w:rsid w:val="7B504859"/>
    <w:rsid w:val="7B5114D3"/>
    <w:rsid w:val="7B5C239B"/>
    <w:rsid w:val="7B6524F0"/>
    <w:rsid w:val="7B695A4B"/>
    <w:rsid w:val="7B7B5DF3"/>
    <w:rsid w:val="7B820CA7"/>
    <w:rsid w:val="7B951E03"/>
    <w:rsid w:val="7B9627EB"/>
    <w:rsid w:val="7B9E5A8C"/>
    <w:rsid w:val="7BA06808"/>
    <w:rsid w:val="7BA22ADC"/>
    <w:rsid w:val="7BA25AA7"/>
    <w:rsid w:val="7BB2251D"/>
    <w:rsid w:val="7BC752C3"/>
    <w:rsid w:val="7BCB5CDD"/>
    <w:rsid w:val="7BE7024F"/>
    <w:rsid w:val="7BE93421"/>
    <w:rsid w:val="7BFD10BD"/>
    <w:rsid w:val="7BFF7937"/>
    <w:rsid w:val="7C1C37BA"/>
    <w:rsid w:val="7C1D4D3D"/>
    <w:rsid w:val="7C5422D9"/>
    <w:rsid w:val="7C5451CE"/>
    <w:rsid w:val="7C5504F4"/>
    <w:rsid w:val="7C5C5480"/>
    <w:rsid w:val="7C6178BF"/>
    <w:rsid w:val="7C715012"/>
    <w:rsid w:val="7C783E00"/>
    <w:rsid w:val="7C7E6BB0"/>
    <w:rsid w:val="7C874FF4"/>
    <w:rsid w:val="7C954183"/>
    <w:rsid w:val="7CA34A8B"/>
    <w:rsid w:val="7CA82050"/>
    <w:rsid w:val="7CAA27BF"/>
    <w:rsid w:val="7CB317F7"/>
    <w:rsid w:val="7CC85D62"/>
    <w:rsid w:val="7CC85FB5"/>
    <w:rsid w:val="7CE81700"/>
    <w:rsid w:val="7CEC3EFC"/>
    <w:rsid w:val="7CF83F93"/>
    <w:rsid w:val="7CFA2019"/>
    <w:rsid w:val="7CFD0886"/>
    <w:rsid w:val="7D1836DE"/>
    <w:rsid w:val="7D191A60"/>
    <w:rsid w:val="7D215C37"/>
    <w:rsid w:val="7D2B194A"/>
    <w:rsid w:val="7D3662DD"/>
    <w:rsid w:val="7D491121"/>
    <w:rsid w:val="7D493926"/>
    <w:rsid w:val="7D5015ED"/>
    <w:rsid w:val="7D5224FC"/>
    <w:rsid w:val="7D536EA5"/>
    <w:rsid w:val="7D542892"/>
    <w:rsid w:val="7D573869"/>
    <w:rsid w:val="7D6D1DD7"/>
    <w:rsid w:val="7D727581"/>
    <w:rsid w:val="7D784E52"/>
    <w:rsid w:val="7D7F4419"/>
    <w:rsid w:val="7D80534D"/>
    <w:rsid w:val="7D874E6C"/>
    <w:rsid w:val="7D972B12"/>
    <w:rsid w:val="7D9C374E"/>
    <w:rsid w:val="7DA2128B"/>
    <w:rsid w:val="7DA32CA8"/>
    <w:rsid w:val="7DA535E7"/>
    <w:rsid w:val="7DA72014"/>
    <w:rsid w:val="7DA80F67"/>
    <w:rsid w:val="7DA93AA6"/>
    <w:rsid w:val="7DA97034"/>
    <w:rsid w:val="7DAA73AC"/>
    <w:rsid w:val="7DB124A2"/>
    <w:rsid w:val="7DC80771"/>
    <w:rsid w:val="7DCB66EE"/>
    <w:rsid w:val="7DCF31B6"/>
    <w:rsid w:val="7DD1525C"/>
    <w:rsid w:val="7DD512BB"/>
    <w:rsid w:val="7DE02AC9"/>
    <w:rsid w:val="7DE133F5"/>
    <w:rsid w:val="7DE5770A"/>
    <w:rsid w:val="7E054EE9"/>
    <w:rsid w:val="7E0B72F3"/>
    <w:rsid w:val="7E165E7C"/>
    <w:rsid w:val="7E3579D0"/>
    <w:rsid w:val="7E3609A0"/>
    <w:rsid w:val="7E3D09BE"/>
    <w:rsid w:val="7E43329E"/>
    <w:rsid w:val="7E451BB1"/>
    <w:rsid w:val="7E5108B6"/>
    <w:rsid w:val="7E6730F4"/>
    <w:rsid w:val="7E730B71"/>
    <w:rsid w:val="7E7601BC"/>
    <w:rsid w:val="7E857855"/>
    <w:rsid w:val="7E8A11A9"/>
    <w:rsid w:val="7E8C42B3"/>
    <w:rsid w:val="7E977B6F"/>
    <w:rsid w:val="7EAA03FA"/>
    <w:rsid w:val="7EC16E83"/>
    <w:rsid w:val="7EC558C1"/>
    <w:rsid w:val="7ED64575"/>
    <w:rsid w:val="7EE05B11"/>
    <w:rsid w:val="7EEC0140"/>
    <w:rsid w:val="7EEE282E"/>
    <w:rsid w:val="7EF35C7C"/>
    <w:rsid w:val="7EFA1D6D"/>
    <w:rsid w:val="7EFD57A9"/>
    <w:rsid w:val="7F0265C4"/>
    <w:rsid w:val="7F067E00"/>
    <w:rsid w:val="7F136697"/>
    <w:rsid w:val="7F154E91"/>
    <w:rsid w:val="7F1B0699"/>
    <w:rsid w:val="7F292471"/>
    <w:rsid w:val="7F295341"/>
    <w:rsid w:val="7F3378D2"/>
    <w:rsid w:val="7F3948C1"/>
    <w:rsid w:val="7F3C3A23"/>
    <w:rsid w:val="7F474A46"/>
    <w:rsid w:val="7F4E7F53"/>
    <w:rsid w:val="7F536C5C"/>
    <w:rsid w:val="7F6872E7"/>
    <w:rsid w:val="7F6B2173"/>
    <w:rsid w:val="7F6E1631"/>
    <w:rsid w:val="7F732B4F"/>
    <w:rsid w:val="7F821D2F"/>
    <w:rsid w:val="7F833161"/>
    <w:rsid w:val="7F8A398A"/>
    <w:rsid w:val="7F905A42"/>
    <w:rsid w:val="7F9944B3"/>
    <w:rsid w:val="7FA174FB"/>
    <w:rsid w:val="7FA27431"/>
    <w:rsid w:val="7FB34C77"/>
    <w:rsid w:val="7FB65C4E"/>
    <w:rsid w:val="7FBC505F"/>
    <w:rsid w:val="7FC14A08"/>
    <w:rsid w:val="7FD27270"/>
    <w:rsid w:val="7FDF3874"/>
    <w:rsid w:val="7FE80BBE"/>
    <w:rsid w:val="7FEA5830"/>
    <w:rsid w:val="7FFF2C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semiHidden="0" w:name="heading 4"/>
    <w:lsdException w:qFormat="1" w:uiPriority="9" w:name="heading 5"/>
    <w:lsdException w:qFormat="1" w:uiPriority="9" w:name="heading 6"/>
    <w:lsdException w:qFormat="1" w:unhideWhenUsed="0" w:uiPriority="0"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uiPriority="99"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Noto Sans Mono CJK JP Regular" w:hAnsi="Noto Sans Mono CJK JP Regular" w:eastAsia="Noto Sans Mono CJK JP Regular" w:cs="Noto Sans Mono CJK JP Regular"/>
      <w:kern w:val="0"/>
      <w:sz w:val="22"/>
      <w:szCs w:val="22"/>
      <w:lang w:val="en-US" w:eastAsia="en-US" w:bidi="ar-SA"/>
    </w:rPr>
  </w:style>
  <w:style w:type="paragraph" w:styleId="4">
    <w:name w:val="heading 2"/>
    <w:basedOn w:val="5"/>
    <w:next w:val="1"/>
    <w:link w:val="29"/>
    <w:qFormat/>
    <w:uiPriority w:val="0"/>
    <w:pPr>
      <w:keepNext/>
      <w:keepLines/>
      <w:spacing w:before="240" w:after="120" w:line="360" w:lineRule="auto"/>
      <w:outlineLvl w:val="1"/>
    </w:pPr>
    <w:rPr>
      <w:rFonts w:ascii="Times New Roman" w:hAnsi="Times New Roman" w:eastAsia="宋体"/>
      <w:sz w:val="28"/>
      <w:szCs w:val="28"/>
    </w:rPr>
  </w:style>
  <w:style w:type="paragraph" w:styleId="6">
    <w:name w:val="heading 3"/>
    <w:basedOn w:val="1"/>
    <w:next w:val="1"/>
    <w:link w:val="32"/>
    <w:semiHidden/>
    <w:unhideWhenUsed/>
    <w:qFormat/>
    <w:uiPriority w:val="9"/>
    <w:pPr>
      <w:keepNext/>
      <w:keepLines/>
      <w:spacing w:before="260" w:after="260" w:line="416" w:lineRule="auto"/>
      <w:outlineLvl w:val="2"/>
    </w:pPr>
    <w:rPr>
      <w:b/>
      <w:bCs/>
      <w:sz w:val="32"/>
      <w:szCs w:val="32"/>
    </w:rPr>
  </w:style>
  <w:style w:type="paragraph" w:styleId="7">
    <w:name w:val="heading 4"/>
    <w:basedOn w:val="1"/>
    <w:next w:val="1"/>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paragraph" w:styleId="8">
    <w:name w:val="heading 7"/>
    <w:next w:val="1"/>
    <w:qFormat/>
    <w:uiPriority w:val="0"/>
    <w:pPr>
      <w:adjustRightInd w:val="0"/>
      <w:snapToGrid w:val="0"/>
      <w:spacing w:line="360" w:lineRule="auto"/>
      <w:jc w:val="center"/>
      <w:outlineLvl w:val="6"/>
    </w:pPr>
    <w:rPr>
      <w:rFonts w:ascii="Times New Roman" w:hAnsi="Times New Roman" w:eastAsia="宋体" w:cs="Times New Roman"/>
      <w:kern w:val="2"/>
      <w:sz w:val="21"/>
      <w:szCs w:val="24"/>
      <w:lang w:val="en-US" w:eastAsia="zh-CN" w:bidi="ar-SA"/>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3"/>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customStyle="1" w:styleId="3">
    <w:name w:val="报告表正文"/>
    <w:basedOn w:val="1"/>
    <w:qFormat/>
    <w:uiPriority w:val="0"/>
    <w:pPr>
      <w:spacing w:line="360" w:lineRule="auto"/>
      <w:jc w:val="both"/>
    </w:pPr>
    <w:rPr>
      <w:rFonts w:ascii="Times New Roman" w:hAnsi="Times New Roman"/>
      <w:sz w:val="24"/>
      <w:szCs w:val="24"/>
    </w:rPr>
  </w:style>
  <w:style w:type="paragraph" w:styleId="5">
    <w:name w:val="Title"/>
    <w:basedOn w:val="1"/>
    <w:next w:val="1"/>
    <w:semiHidden/>
    <w:qFormat/>
    <w:uiPriority w:val="0"/>
    <w:pPr>
      <w:spacing w:before="240" w:after="60"/>
      <w:jc w:val="center"/>
      <w:outlineLvl w:val="0"/>
    </w:pPr>
    <w:rPr>
      <w:rFonts w:eastAsia="宋体" w:asciiTheme="majorHAnsi" w:hAnsiTheme="majorHAnsi" w:cstheme="majorBidi"/>
      <w:b/>
      <w:bCs/>
      <w:sz w:val="32"/>
      <w:szCs w:val="32"/>
    </w:rPr>
  </w:style>
  <w:style w:type="paragraph" w:styleId="9">
    <w:name w:val="annotation text"/>
    <w:basedOn w:val="1"/>
    <w:semiHidden/>
    <w:unhideWhenUsed/>
    <w:qFormat/>
    <w:uiPriority w:val="99"/>
    <w:pPr>
      <w:jc w:val="left"/>
    </w:pPr>
  </w:style>
  <w:style w:type="paragraph" w:styleId="10">
    <w:name w:val="Body Text"/>
    <w:basedOn w:val="1"/>
    <w:next w:val="11"/>
    <w:link w:val="22"/>
    <w:qFormat/>
    <w:uiPriority w:val="1"/>
    <w:rPr>
      <w:sz w:val="24"/>
      <w:szCs w:val="24"/>
    </w:rPr>
  </w:style>
  <w:style w:type="paragraph" w:customStyle="1" w:styleId="11">
    <w:name w:val="xl27"/>
    <w:basedOn w:val="1"/>
    <w:qFormat/>
    <w:uiPriority w:val="0"/>
    <w:pPr>
      <w:widowControl/>
      <w:spacing w:before="100" w:beforeAutospacing="1" w:after="100" w:afterAutospacing="1"/>
      <w:jc w:val="center"/>
    </w:pPr>
    <w:rPr>
      <w:rFonts w:hint="eastAsia" w:ascii="黑体" w:hAnsi="宋体" w:eastAsia="黑体"/>
      <w:kern w:val="0"/>
      <w:sz w:val="32"/>
      <w:szCs w:val="20"/>
    </w:rPr>
  </w:style>
  <w:style w:type="paragraph" w:styleId="12">
    <w:name w:val="Body Text Indent"/>
    <w:basedOn w:val="1"/>
    <w:qFormat/>
    <w:uiPriority w:val="0"/>
    <w:pPr>
      <w:spacing w:after="120"/>
      <w:ind w:left="420" w:leftChars="200"/>
    </w:pPr>
    <w:rPr>
      <w:rFonts w:ascii="Times New Roman" w:hAnsi="Times New Roman"/>
      <w:kern w:val="13"/>
      <w:sz w:val="24"/>
      <w:szCs w:val="24"/>
    </w:rPr>
  </w:style>
  <w:style w:type="paragraph" w:styleId="13">
    <w:name w:val="Balloon Text"/>
    <w:basedOn w:val="1"/>
    <w:link w:val="27"/>
    <w:semiHidden/>
    <w:unhideWhenUsed/>
    <w:qFormat/>
    <w:uiPriority w:val="99"/>
    <w:rPr>
      <w:sz w:val="18"/>
      <w:szCs w:val="18"/>
    </w:rPr>
  </w:style>
  <w:style w:type="paragraph" w:styleId="14">
    <w:name w:val="footer"/>
    <w:basedOn w:val="1"/>
    <w:link w:val="28"/>
    <w:unhideWhenUsed/>
    <w:qFormat/>
    <w:uiPriority w:val="99"/>
    <w:pPr>
      <w:tabs>
        <w:tab w:val="center" w:pos="4153"/>
        <w:tab w:val="right" w:pos="8306"/>
      </w:tabs>
      <w:snapToGrid w:val="0"/>
    </w:pPr>
    <w:rPr>
      <w:sz w:val="18"/>
      <w:szCs w:val="18"/>
    </w:rPr>
  </w:style>
  <w:style w:type="paragraph" w:styleId="15">
    <w:name w:val="header"/>
    <w:basedOn w:val="1"/>
    <w:link w:val="23"/>
    <w:qFormat/>
    <w:uiPriority w:val="0"/>
    <w:pPr>
      <w:pBdr>
        <w:bottom w:val="single" w:color="auto" w:sz="6" w:space="1"/>
      </w:pBdr>
      <w:tabs>
        <w:tab w:val="center" w:pos="4153"/>
        <w:tab w:val="right" w:pos="8306"/>
      </w:tabs>
      <w:snapToGrid w:val="0"/>
      <w:ind w:firstLine="640"/>
      <w:jc w:val="center"/>
    </w:pPr>
    <w:rPr>
      <w:rFonts w:ascii="Times New Roman" w:hAnsi="Times New Roman" w:eastAsia="宋体"/>
      <w:sz w:val="18"/>
      <w:szCs w:val="18"/>
    </w:rPr>
  </w:style>
  <w:style w:type="paragraph" w:styleId="16">
    <w:name w:val="Body Text 2"/>
    <w:basedOn w:val="1"/>
    <w:link w:val="35"/>
    <w:semiHidden/>
    <w:unhideWhenUsed/>
    <w:qFormat/>
    <w:uiPriority w:val="99"/>
    <w:pPr>
      <w:spacing w:after="120" w:line="480" w:lineRule="auto"/>
    </w:pPr>
  </w:style>
  <w:style w:type="paragraph" w:styleId="17">
    <w:name w:val="Body Text First Indent"/>
    <w:basedOn w:val="10"/>
    <w:link w:val="30"/>
    <w:semiHidden/>
    <w:unhideWhenUsed/>
    <w:qFormat/>
    <w:uiPriority w:val="99"/>
    <w:pPr>
      <w:spacing w:after="120"/>
      <w:ind w:firstLine="420" w:firstLineChars="100"/>
    </w:pPr>
    <w:rPr>
      <w:sz w:val="22"/>
      <w:szCs w:val="22"/>
    </w:rPr>
  </w:style>
  <w:style w:type="table" w:styleId="19">
    <w:name w:val="Table Grid"/>
    <w:basedOn w:val="1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1">
    <w:name w:val="表格1"/>
    <w:basedOn w:val="1"/>
    <w:next w:val="1"/>
    <w:qFormat/>
    <w:uiPriority w:val="0"/>
    <w:pPr>
      <w:spacing w:line="240" w:lineRule="auto"/>
      <w:ind w:firstLine="0" w:firstLineChars="0"/>
      <w:jc w:val="center"/>
    </w:pPr>
    <w:rPr>
      <w:rFonts w:ascii="Times New Roman" w:hAnsi="Times New Roman" w:eastAsia="宋体"/>
      <w:sz w:val="21"/>
    </w:rPr>
  </w:style>
  <w:style w:type="character" w:customStyle="1" w:styleId="22">
    <w:name w:val="正文文本 Char"/>
    <w:basedOn w:val="20"/>
    <w:link w:val="10"/>
    <w:qFormat/>
    <w:uiPriority w:val="1"/>
    <w:rPr>
      <w:rFonts w:ascii="Noto Sans Mono CJK JP Regular" w:hAnsi="Noto Sans Mono CJK JP Regular" w:eastAsia="Noto Sans Mono CJK JP Regular" w:cs="Noto Sans Mono CJK JP Regular"/>
      <w:kern w:val="0"/>
      <w:sz w:val="24"/>
      <w:szCs w:val="24"/>
      <w:lang w:eastAsia="en-US"/>
    </w:rPr>
  </w:style>
  <w:style w:type="character" w:customStyle="1" w:styleId="23">
    <w:name w:val="页眉 Char"/>
    <w:basedOn w:val="20"/>
    <w:link w:val="15"/>
    <w:qFormat/>
    <w:uiPriority w:val="0"/>
    <w:rPr>
      <w:rFonts w:ascii="Times New Roman" w:hAnsi="Times New Roman" w:eastAsia="宋体" w:cs="Noto Sans Mono CJK JP Regular"/>
      <w:kern w:val="0"/>
      <w:sz w:val="18"/>
      <w:szCs w:val="18"/>
      <w:lang w:eastAsia="en-US"/>
    </w:rPr>
  </w:style>
  <w:style w:type="paragraph" w:customStyle="1" w:styleId="24">
    <w:name w:val="四级条标题"/>
    <w:basedOn w:val="1"/>
    <w:next w:val="1"/>
    <w:qFormat/>
    <w:uiPriority w:val="0"/>
    <w:pPr>
      <w:widowControl/>
      <w:tabs>
        <w:tab w:val="left" w:pos="1260"/>
        <w:tab w:val="left" w:pos="1680"/>
      </w:tabs>
      <w:autoSpaceDE/>
      <w:autoSpaceDN/>
      <w:jc w:val="both"/>
      <w:outlineLvl w:val="5"/>
    </w:pPr>
    <w:rPr>
      <w:rFonts w:ascii="黑体" w:hAnsi="Times New Roman" w:eastAsia="黑体" w:cs="Times New Roman"/>
      <w:sz w:val="21"/>
      <w:szCs w:val="20"/>
      <w:lang w:eastAsia="zh-CN"/>
    </w:rPr>
  </w:style>
  <w:style w:type="paragraph" w:customStyle="1" w:styleId="25">
    <w:name w:val="Table Paragraph"/>
    <w:basedOn w:val="1"/>
    <w:qFormat/>
    <w:uiPriority w:val="1"/>
    <w:pPr>
      <w:jc w:val="center"/>
    </w:pPr>
  </w:style>
  <w:style w:type="paragraph" w:customStyle="1" w:styleId="26">
    <w:name w:val="表格"/>
    <w:basedOn w:val="1"/>
    <w:next w:val="1"/>
    <w:qFormat/>
    <w:uiPriority w:val="0"/>
    <w:pPr>
      <w:jc w:val="center"/>
    </w:pPr>
    <w:rPr>
      <w:rFonts w:ascii="Times New Roman" w:hAnsi="Times New Roman"/>
      <w:sz w:val="21"/>
      <w:szCs w:val="21"/>
    </w:rPr>
  </w:style>
  <w:style w:type="character" w:customStyle="1" w:styleId="27">
    <w:name w:val="批注框文本 Char"/>
    <w:basedOn w:val="20"/>
    <w:link w:val="13"/>
    <w:semiHidden/>
    <w:qFormat/>
    <w:uiPriority w:val="99"/>
    <w:rPr>
      <w:rFonts w:ascii="Noto Sans Mono CJK JP Regular" w:hAnsi="Noto Sans Mono CJK JP Regular" w:eastAsia="Noto Sans Mono CJK JP Regular" w:cs="Noto Sans Mono CJK JP Regular"/>
      <w:kern w:val="0"/>
      <w:sz w:val="18"/>
      <w:szCs w:val="18"/>
      <w:lang w:eastAsia="en-US"/>
    </w:rPr>
  </w:style>
  <w:style w:type="character" w:customStyle="1" w:styleId="28">
    <w:name w:val="页脚 Char"/>
    <w:basedOn w:val="20"/>
    <w:link w:val="14"/>
    <w:qFormat/>
    <w:uiPriority w:val="99"/>
    <w:rPr>
      <w:rFonts w:ascii="Noto Sans Mono CJK JP Regular" w:hAnsi="Noto Sans Mono CJK JP Regular" w:eastAsia="Noto Sans Mono CJK JP Regular" w:cs="Noto Sans Mono CJK JP Regular"/>
      <w:kern w:val="0"/>
      <w:sz w:val="18"/>
      <w:szCs w:val="18"/>
      <w:lang w:eastAsia="en-US"/>
    </w:rPr>
  </w:style>
  <w:style w:type="character" w:customStyle="1" w:styleId="29">
    <w:name w:val="标题 2 Char"/>
    <w:basedOn w:val="20"/>
    <w:link w:val="4"/>
    <w:qFormat/>
    <w:uiPriority w:val="0"/>
    <w:rPr>
      <w:rFonts w:ascii="Times New Roman" w:hAnsi="Times New Roman" w:eastAsia="宋体" w:cs="Noto Sans Mono CJK JP Regular"/>
      <w:b/>
      <w:kern w:val="0"/>
      <w:sz w:val="28"/>
      <w:szCs w:val="28"/>
      <w:lang w:eastAsia="en-US"/>
    </w:rPr>
  </w:style>
  <w:style w:type="character" w:customStyle="1" w:styleId="30">
    <w:name w:val="正文首行缩进 Char"/>
    <w:basedOn w:val="22"/>
    <w:link w:val="17"/>
    <w:semiHidden/>
    <w:qFormat/>
    <w:uiPriority w:val="99"/>
    <w:rPr>
      <w:rFonts w:ascii="Noto Sans Mono CJK JP Regular" w:hAnsi="Noto Sans Mono CJK JP Regular" w:eastAsia="Noto Sans Mono CJK JP Regular" w:cs="Noto Sans Mono CJK JP Regular"/>
      <w:kern w:val="0"/>
      <w:sz w:val="22"/>
      <w:szCs w:val="24"/>
      <w:lang w:eastAsia="en-US"/>
    </w:rPr>
  </w:style>
  <w:style w:type="paragraph" w:customStyle="1" w:styleId="31">
    <w:name w:val="报告书正文 Char Char Char"/>
    <w:basedOn w:val="1"/>
    <w:qFormat/>
    <w:uiPriority w:val="0"/>
    <w:pPr>
      <w:autoSpaceDE/>
      <w:autoSpaceDN/>
      <w:adjustRightInd w:val="0"/>
      <w:spacing w:line="300" w:lineRule="auto"/>
      <w:ind w:firstLine="480" w:firstLineChars="200"/>
      <w:jc w:val="both"/>
      <w:textAlignment w:val="baseline"/>
    </w:pPr>
    <w:rPr>
      <w:rFonts w:ascii="宋体" w:hAnsi="宋体" w:eastAsia="宋体" w:cs="Times New Roman"/>
      <w:sz w:val="24"/>
      <w:szCs w:val="20"/>
      <w:lang w:eastAsia="zh-CN"/>
    </w:rPr>
  </w:style>
  <w:style w:type="character" w:customStyle="1" w:styleId="32">
    <w:name w:val="标题 3 Char"/>
    <w:basedOn w:val="20"/>
    <w:link w:val="6"/>
    <w:semiHidden/>
    <w:qFormat/>
    <w:uiPriority w:val="9"/>
    <w:rPr>
      <w:rFonts w:ascii="Noto Sans Mono CJK JP Regular" w:hAnsi="Noto Sans Mono CJK JP Regular" w:eastAsia="Noto Sans Mono CJK JP Regular" w:cs="Noto Sans Mono CJK JP Regular"/>
      <w:b/>
      <w:bCs/>
      <w:kern w:val="0"/>
      <w:sz w:val="32"/>
      <w:szCs w:val="32"/>
      <w:lang w:eastAsia="en-US"/>
    </w:rPr>
  </w:style>
  <w:style w:type="character" w:customStyle="1" w:styleId="33">
    <w:name w:val="font31"/>
    <w:basedOn w:val="20"/>
    <w:qFormat/>
    <w:uiPriority w:val="0"/>
    <w:rPr>
      <w:rFonts w:ascii="Times New Roman" w:hAnsi="Times New Roman" w:cs="Times New Roman"/>
      <w:color w:val="000000"/>
      <w:sz w:val="20"/>
      <w:szCs w:val="20"/>
      <w:u w:val="none"/>
      <w:lang w:bidi="ar-SA"/>
    </w:rPr>
  </w:style>
  <w:style w:type="paragraph" w:customStyle="1" w:styleId="34">
    <w:name w:val="1"/>
    <w:basedOn w:val="1"/>
    <w:next w:val="16"/>
    <w:qFormat/>
    <w:uiPriority w:val="0"/>
    <w:pPr>
      <w:tabs>
        <w:tab w:val="left" w:pos="10980"/>
      </w:tabs>
      <w:autoSpaceDE/>
      <w:autoSpaceDN/>
      <w:jc w:val="both"/>
    </w:pPr>
    <w:rPr>
      <w:rFonts w:ascii="宋体" w:hAnsi="Times New Roman" w:eastAsia="宋体" w:cs="宋体"/>
      <w:kern w:val="2"/>
      <w:sz w:val="24"/>
      <w:szCs w:val="24"/>
      <w:lang w:eastAsia="zh-CN"/>
    </w:rPr>
  </w:style>
  <w:style w:type="character" w:customStyle="1" w:styleId="35">
    <w:name w:val="正文文本 2 Char"/>
    <w:basedOn w:val="20"/>
    <w:link w:val="16"/>
    <w:semiHidden/>
    <w:qFormat/>
    <w:uiPriority w:val="99"/>
    <w:rPr>
      <w:rFonts w:ascii="Noto Sans Mono CJK JP Regular" w:hAnsi="Noto Sans Mono CJK JP Regular" w:eastAsia="Noto Sans Mono CJK JP Regular" w:cs="Noto Sans Mono CJK JP Regular"/>
      <w:kern w:val="0"/>
      <w:sz w:val="22"/>
      <w:lang w:eastAsia="en-US"/>
    </w:rPr>
  </w:style>
  <w:style w:type="paragraph" w:customStyle="1" w:styleId="36">
    <w:name w:val="样式3"/>
    <w:basedOn w:val="1"/>
    <w:qFormat/>
    <w:uiPriority w:val="0"/>
    <w:pPr>
      <w:autoSpaceDE/>
      <w:autoSpaceDN/>
      <w:jc w:val="center"/>
    </w:pPr>
    <w:rPr>
      <w:rFonts w:ascii="Times New Roman" w:hAnsi="Times New Roman" w:eastAsia="黑体" w:cs="Times New Roman"/>
      <w:kern w:val="2"/>
      <w:sz w:val="44"/>
      <w:szCs w:val="24"/>
      <w:lang w:eastAsia="zh-CN"/>
    </w:rPr>
  </w:style>
  <w:style w:type="paragraph" w:customStyle="1" w:styleId="37">
    <w:name w:val="普通(网站)1"/>
    <w:basedOn w:val="1"/>
    <w:qFormat/>
    <w:uiPriority w:val="0"/>
    <w:pPr>
      <w:widowControl/>
      <w:autoSpaceDE/>
      <w:autoSpaceDN/>
      <w:spacing w:before="100" w:beforeAutospacing="1" w:after="100" w:afterAutospacing="1"/>
    </w:pPr>
    <w:rPr>
      <w:rFonts w:ascii="宋体" w:hAnsi="宋体" w:eastAsia="宋体" w:cs="宋体"/>
      <w:sz w:val="24"/>
      <w:szCs w:val="24"/>
      <w:lang w:eastAsia="zh-CN"/>
    </w:rPr>
  </w:style>
  <w:style w:type="paragraph" w:customStyle="1" w:styleId="38">
    <w:name w:val="列出段落1"/>
    <w:basedOn w:val="1"/>
    <w:qFormat/>
    <w:uiPriority w:val="0"/>
    <w:pPr>
      <w:autoSpaceDE/>
      <w:autoSpaceDN/>
      <w:ind w:firstLine="420" w:firstLineChars="200"/>
      <w:jc w:val="both"/>
    </w:pPr>
    <w:rPr>
      <w:rFonts w:ascii="Calibri" w:hAnsi="Calibri" w:eastAsia="宋体" w:cs="Times New Roman"/>
      <w:kern w:val="2"/>
      <w:sz w:val="21"/>
      <w:szCs w:val="21"/>
      <w:lang w:eastAsia="zh-CN"/>
    </w:rPr>
  </w:style>
  <w:style w:type="paragraph" w:customStyle="1" w:styleId="39">
    <w:name w:val="表格RED报告书"/>
    <w:basedOn w:val="1"/>
    <w:qFormat/>
    <w:uiPriority w:val="0"/>
    <w:pPr>
      <w:adjustRightInd/>
      <w:snapToGrid/>
      <w:spacing w:before="0" w:beforeAutospacing="0" w:after="0" w:line="276" w:lineRule="auto"/>
      <w:jc w:val="center"/>
    </w:pPr>
    <w:rPr>
      <w:rFonts w:ascii="仿宋" w:hAnsi="仿宋" w:eastAsia="仿宋" w:cstheme="minorBidi"/>
      <w:sz w:val="18"/>
      <w:szCs w:val="21"/>
    </w:rPr>
  </w:style>
  <w:style w:type="table" w:customStyle="1" w:styleId="40">
    <w:name w:val="网格型1"/>
    <w:basedOn w:val="18"/>
    <w:unhideWhenUsed/>
    <w:qFormat/>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1">
    <w:name w:val="真宗兴正文"/>
    <w:basedOn w:val="1"/>
    <w:qFormat/>
    <w:uiPriority w:val="0"/>
    <w:pPr>
      <w:widowControl w:val="0"/>
      <w:overflowPunct w:val="0"/>
      <w:autoSpaceDE w:val="0"/>
      <w:autoSpaceDN w:val="0"/>
      <w:spacing w:beforeLines="30" w:beforeAutospacing="0" w:afterLines="30" w:line="360" w:lineRule="auto"/>
      <w:ind w:firstLine="480" w:firstLineChars="200"/>
      <w:jc w:val="both"/>
      <w:textAlignment w:val="baseline"/>
    </w:pPr>
    <w:rPr>
      <w:rFonts w:ascii="Times New Roman" w:hAnsi="Times New Roman" w:eastAsia="宋体"/>
      <w:kern w:val="2"/>
      <w:sz w:val="24"/>
      <w:szCs w:val="20"/>
    </w:rPr>
  </w:style>
  <w:style w:type="paragraph" w:customStyle="1" w:styleId="42">
    <w:name w:val="表字体"/>
    <w:basedOn w:val="1"/>
    <w:next w:val="1"/>
    <w:qFormat/>
    <w:uiPriority w:val="0"/>
    <w:pPr>
      <w:jc w:val="center"/>
    </w:pPr>
    <w:rPr>
      <w:rFonts w:eastAsia="宋体"/>
      <w:kern w:val="0"/>
      <w:sz w:val="21"/>
      <w:szCs w:val="20"/>
    </w:rPr>
  </w:style>
  <w:style w:type="paragraph" w:customStyle="1" w:styleId="43">
    <w:name w:val="正  文"/>
    <w:basedOn w:val="1"/>
    <w:next w:val="1"/>
    <w:qFormat/>
    <w:uiPriority w:val="0"/>
    <w:pPr>
      <w:spacing w:line="360" w:lineRule="auto"/>
      <w:ind w:firstLine="560" w:firstLineChars="200"/>
    </w:pPr>
    <w:rPr>
      <w:rFonts w:ascii="宋体" w:hAnsi="宋体" w:cs="仿宋_GB2312"/>
      <w:sz w:val="24"/>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pn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4207</Words>
  <Characters>23983</Characters>
  <Lines>1</Lines>
  <Paragraphs>1</Paragraphs>
  <TotalTime>4</TotalTime>
  <ScaleCrop>false</ScaleCrop>
  <LinksUpToDate>false</LinksUpToDate>
  <CharactersWithSpaces>28134</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2020-01-10T09:43:00Z</dcterms:created>
  <dc:creator>li</dc:creator>
  <cp:lastModifiedBy>朗宝MM</cp:lastModifiedBy>
  <cp:lastPrinted>2021-06-03T01:57:00Z</cp:lastPrinted>
  <dcterms:modified xsi:type="dcterms:W3CDTF">2021-06-11T03:17:07Z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3919776F7AF14F8F8F66371D34E9BA33</vt:lpwstr>
  </property>
</Properties>
</file>