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color w:val="000000"/>
          <w:sz w:val="28"/>
          <w:lang w:eastAsia="zh-CN"/>
        </w:rPr>
      </w:pPr>
    </w:p>
    <w:p>
      <w:pPr>
        <w:spacing w:line="360" w:lineRule="auto"/>
        <w:jc w:val="both"/>
        <w:rPr>
          <w:rFonts w:hint="default" w:ascii="Times New Roman" w:hAnsi="Times New Roman" w:eastAsia="宋体" w:cs="Times New Roman"/>
          <w:b/>
          <w:bCs/>
          <w:color w:val="000000"/>
          <w:spacing w:val="-23"/>
          <w:sz w:val="48"/>
          <w:szCs w:val="48"/>
          <w:lang w:eastAsia="zh-CN"/>
        </w:rPr>
      </w:pP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val="en-US" w:eastAsia="zh-CN"/>
        </w:rPr>
      </w:pPr>
      <w:r>
        <w:rPr>
          <w:rFonts w:hint="default" w:ascii="Times New Roman" w:hAnsi="Times New Roman" w:eastAsia="宋体" w:cs="Times New Roman"/>
          <w:b/>
          <w:color w:val="000000"/>
          <w:sz w:val="48"/>
          <w:szCs w:val="48"/>
          <w:lang w:eastAsia="zh-CN"/>
        </w:rPr>
        <w:t>岳阳云港物流园</w:t>
      </w:r>
      <w:r>
        <w:rPr>
          <w:rFonts w:hint="eastAsia" w:ascii="Times New Roman" w:hAnsi="Times New Roman" w:cs="Times New Roman"/>
          <w:b/>
          <w:color w:val="000000"/>
          <w:sz w:val="48"/>
          <w:szCs w:val="48"/>
          <w:lang w:val="en-US" w:eastAsia="zh-CN"/>
        </w:rPr>
        <w:t>建设项目</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竣工环境保护验收监测报告表</w:t>
      </w:r>
    </w:p>
    <w:p>
      <w:pPr>
        <w:rPr>
          <w:rFonts w:hint="default" w:ascii="Times New Roman" w:hAnsi="Times New Roman" w:eastAsia="宋体" w:cs="Times New Roman"/>
          <w:lang w:eastAsia="zh-CN"/>
        </w:rPr>
      </w:pPr>
    </w:p>
    <w:p>
      <w:pPr>
        <w:pStyle w:val="2"/>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326255" cy="4046220"/>
            <wp:effectExtent l="0" t="0" r="17145" b="11430"/>
            <wp:docPr id="2" name="图片 2" descr="IMG_20200908_10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908_105850"/>
                    <pic:cNvPicPr>
                      <a:picLocks noChangeAspect="1"/>
                    </pic:cNvPicPr>
                  </pic:nvPicPr>
                  <pic:blipFill>
                    <a:blip r:embed="rId9"/>
                    <a:stretch>
                      <a:fillRect/>
                    </a:stretch>
                  </pic:blipFill>
                  <pic:spPr>
                    <a:xfrm>
                      <a:off x="0" y="0"/>
                      <a:ext cx="4326255" cy="4046220"/>
                    </a:xfrm>
                    <a:prstGeom prst="rect">
                      <a:avLst/>
                    </a:prstGeom>
                  </pic:spPr>
                </pic:pic>
              </a:graphicData>
            </a:graphic>
          </wp:inline>
        </w:drawing>
      </w:r>
    </w:p>
    <w:p>
      <w:pPr>
        <w:rPr>
          <w:rFonts w:hint="default" w:ascii="Times New Roman" w:hAnsi="Times New Roman" w:eastAsia="宋体" w:cs="Times New Roman"/>
          <w:color w:val="000000"/>
          <w:sz w:val="28"/>
          <w:lang w:eastAsia="zh-CN"/>
        </w:rPr>
      </w:pPr>
      <w:r>
        <w:rPr>
          <w:rFonts w:hint="default" w:ascii="Times New Roman" w:hAnsi="Times New Roman" w:eastAsia="宋体" w:cs="Times New Roman"/>
          <w:color w:val="000000"/>
          <w:sz w:val="28"/>
          <w:lang w:eastAsia="zh-CN"/>
        </w:rPr>
        <w:tab/>
      </w:r>
    </w:p>
    <w:p>
      <w:pPr>
        <w:pStyle w:val="2"/>
        <w:rPr>
          <w:rFonts w:hint="default"/>
          <w:lang w:eastAsia="zh-CN"/>
        </w:rPr>
      </w:pPr>
    </w:p>
    <w:p>
      <w:pPr>
        <w:autoSpaceDE/>
        <w:autoSpaceDN/>
        <w:spacing w:line="360" w:lineRule="auto"/>
        <w:ind w:firstLine="1680" w:firstLineChars="600"/>
        <w:jc w:val="both"/>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建设单位：</w:t>
      </w:r>
      <w:r>
        <w:rPr>
          <w:rFonts w:hint="default" w:ascii="Times New Roman" w:hAnsi="Times New Roman" w:eastAsia="宋体" w:cs="Times New Roman"/>
          <w:color w:val="000000"/>
          <w:sz w:val="28"/>
          <w:szCs w:val="28"/>
          <w:u w:val="single"/>
          <w:lang w:val="en-US" w:eastAsia="zh-CN"/>
        </w:rPr>
        <w:t>岳阳云港化工物流有限公司</w:t>
      </w:r>
    </w:p>
    <w:p>
      <w:pPr>
        <w:pStyle w:val="2"/>
        <w:ind w:firstLine="1680" w:firstLineChars="600"/>
        <w:jc w:val="both"/>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编制单位：</w:t>
      </w:r>
      <w:r>
        <w:rPr>
          <w:rFonts w:hint="eastAsia" w:ascii="Times New Roman" w:hAnsi="Times New Roman" w:cs="Times New Roman"/>
          <w:color w:val="000000"/>
          <w:sz w:val="28"/>
          <w:szCs w:val="28"/>
          <w:u w:val="single"/>
          <w:lang w:val="en-US" w:eastAsia="zh-CN"/>
        </w:rPr>
        <w:t>湖南衡润</w:t>
      </w:r>
      <w:r>
        <w:rPr>
          <w:rFonts w:hint="default" w:ascii="Times New Roman" w:hAnsi="Times New Roman" w:eastAsia="宋体" w:cs="Times New Roman"/>
          <w:color w:val="000000"/>
          <w:sz w:val="28"/>
          <w:szCs w:val="28"/>
          <w:u w:val="single"/>
          <w:lang w:eastAsia="zh-CN"/>
        </w:rPr>
        <w:t>科技有限公司</w:t>
      </w:r>
    </w:p>
    <w:p>
      <w:pPr>
        <w:autoSpaceDE/>
        <w:autoSpaceDN/>
        <w:spacing w:line="360" w:lineRule="auto"/>
        <w:jc w:val="center"/>
        <w:rPr>
          <w:rFonts w:hint="default" w:ascii="Times New Roman" w:hAnsi="Times New Roman" w:eastAsia="宋体" w:cs="Times New Roman"/>
          <w:color w:val="000000"/>
          <w:sz w:val="28"/>
          <w:szCs w:val="28"/>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8"/>
          <w:szCs w:val="28"/>
          <w:lang w:eastAsia="zh-CN"/>
        </w:rPr>
        <w:t>二零二零年十</w:t>
      </w:r>
      <w:r>
        <w:rPr>
          <w:rFonts w:hint="eastAsia" w:ascii="Times New Roman" w:hAnsi="Times New Roman" w:cs="Times New Roman"/>
          <w:color w:val="000000"/>
          <w:sz w:val="28"/>
          <w:szCs w:val="28"/>
          <w:lang w:val="en-US" w:eastAsia="zh-CN"/>
        </w:rPr>
        <w:t>一</w:t>
      </w:r>
      <w:r>
        <w:rPr>
          <w:rFonts w:hint="default" w:ascii="Times New Roman" w:hAnsi="Times New Roman" w:eastAsia="宋体" w:cs="Times New Roman"/>
          <w:color w:val="000000"/>
          <w:sz w:val="28"/>
          <w:szCs w:val="28"/>
          <w:lang w:eastAsia="zh-CN"/>
        </w:rPr>
        <w:t>月</w:t>
      </w:r>
    </w:p>
    <w:tbl>
      <w:tblPr>
        <w:tblStyle w:val="18"/>
        <w:tblW w:w="8971" w:type="dxa"/>
        <w:jc w:val="center"/>
        <w:tblLayout w:type="fixed"/>
        <w:tblCellMar>
          <w:top w:w="0" w:type="dxa"/>
          <w:left w:w="108" w:type="dxa"/>
          <w:bottom w:w="0" w:type="dxa"/>
          <w:right w:w="108" w:type="dxa"/>
        </w:tblCellMar>
      </w:tblPr>
      <w:tblGrid>
        <w:gridCol w:w="8555"/>
        <w:gridCol w:w="416"/>
      </w:tblGrid>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建设单位法人代表：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编制单位法人代表：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项 目 负 责 人：</w:t>
            </w:r>
            <w:r>
              <w:rPr>
                <w:rFonts w:hint="eastAsia" w:ascii="Times New Roman" w:hAnsi="Times New Roman" w:cs="Times New Roman"/>
                <w:sz w:val="28"/>
                <w:szCs w:val="28"/>
                <w:lang w:val="en-US" w:eastAsia="zh-CN"/>
              </w:rPr>
              <w:t>赵 仁 卫</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填    表    人：</w:t>
            </w:r>
            <w:r>
              <w:rPr>
                <w:rFonts w:hint="eastAsia" w:ascii="Times New Roman" w:hAnsi="Times New Roman" w:cs="Times New Roman"/>
                <w:sz w:val="28"/>
                <w:szCs w:val="28"/>
                <w:lang w:val="en-US" w:eastAsia="zh-CN"/>
              </w:rPr>
              <w:t>邓 勤 奋</w:t>
            </w:r>
          </w:p>
        </w:tc>
      </w:tr>
      <w:tr>
        <w:tblPrEx>
          <w:tblCellMar>
            <w:top w:w="0" w:type="dxa"/>
            <w:left w:w="108" w:type="dxa"/>
            <w:bottom w:w="0" w:type="dxa"/>
            <w:right w:w="108" w:type="dxa"/>
          </w:tblCellMar>
        </w:tblPrEx>
        <w:trPr>
          <w:trHeight w:val="5896" w:hRule="atLeast"/>
          <w:jc w:val="center"/>
        </w:trPr>
        <w:tc>
          <w:tcPr>
            <w:tcW w:w="8971" w:type="dxa"/>
            <w:gridSpan w:val="2"/>
            <w:vAlign w:val="center"/>
          </w:tcPr>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90" w:hRule="atLeast"/>
          <w:jc w:val="center"/>
        </w:trPr>
        <w:tc>
          <w:tcPr>
            <w:tcW w:w="8555" w:type="dxa"/>
            <w:vAlign w:val="center"/>
          </w:tcPr>
          <w:tbl>
            <w:tblPr>
              <w:tblStyle w:val="1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9" w:type="dxa"/>
                  <w:tcBorders>
                    <w:tl2br w:val="nil"/>
                    <w:tr2bl w:val="nil"/>
                  </w:tcBorders>
                </w:tcPr>
                <w:p>
                  <w:pPr>
                    <w:spacing w:line="360" w:lineRule="auto"/>
                    <w:ind w:left="2280" w:hanging="2280" w:hangingChars="950"/>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eastAsia="zh-CN"/>
                    </w:rPr>
                    <w:t>建设单位（盖章）：</w:t>
                  </w:r>
                  <w:r>
                    <w:rPr>
                      <w:rFonts w:hint="default" w:ascii="Times New Roman" w:hAnsi="Times New Roman" w:eastAsia="宋体" w:cs="Times New Roman"/>
                      <w:sz w:val="24"/>
                      <w:szCs w:val="24"/>
                      <w:lang w:val="en-US" w:eastAsia="zh-CN"/>
                    </w:rPr>
                    <w:t>岳阳云港化工物流有限公司</w:t>
                  </w:r>
                </w:p>
              </w:tc>
              <w:tc>
                <w:tcPr>
                  <w:tcW w:w="4170" w:type="dxa"/>
                  <w:tcBorders>
                    <w:tl2br w:val="nil"/>
                    <w:tr2bl w:val="nil"/>
                  </w:tcBorders>
                </w:tcPr>
                <w:p>
                  <w:pPr>
                    <w:spacing w:line="360" w:lineRule="auto"/>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val="en-US" w:eastAsia="zh-CN"/>
                    </w:rPr>
                    <w:t>编制</w:t>
                  </w:r>
                  <w:r>
                    <w:rPr>
                      <w:rFonts w:hint="default" w:ascii="Times New Roman" w:hAnsi="Times New Roman" w:eastAsia="宋体" w:cs="Times New Roman"/>
                      <w:sz w:val="24"/>
                      <w:szCs w:val="24"/>
                      <w:lang w:eastAsia="zh-CN"/>
                    </w:rPr>
                    <w:t>单位（盖章）：</w:t>
                  </w:r>
                  <w:r>
                    <w:rPr>
                      <w:rFonts w:hint="default" w:ascii="Times New Roman" w:hAnsi="Times New Roman" w:eastAsia="宋体" w:cs="Times New Roman"/>
                      <w:sz w:val="24"/>
                      <w:szCs w:val="24"/>
                      <w:lang w:val="en-US" w:eastAsia="zh-CN"/>
                    </w:rPr>
                    <w:t>湖南衡润</w:t>
                  </w:r>
                  <w:r>
                    <w:rPr>
                      <w:rFonts w:hint="default" w:ascii="Times New Roman" w:hAnsi="Times New Roman" w:eastAsia="宋体" w:cs="Times New Roman"/>
                      <w:sz w:val="24"/>
                      <w:szCs w:val="24"/>
                      <w:lang w:eastAsia="zh-CN"/>
                    </w:rPr>
                    <w:t>科技有限公司</w:t>
                  </w:r>
                </w:p>
              </w:tc>
            </w:tr>
          </w:tbl>
          <w:p>
            <w:pPr>
              <w:spacing w:line="360" w:lineRule="auto"/>
              <w:ind w:left="2280" w:hanging="2280" w:hangingChars="950"/>
              <w:jc w:val="left"/>
              <w:rPr>
                <w:rFonts w:hint="default" w:ascii="Times New Roman" w:hAnsi="Times New Roman" w:eastAsia="宋体" w:cs="Times New Roman"/>
                <w:sz w:val="24"/>
                <w:szCs w:val="24"/>
                <w:lang w:val="en-US" w:eastAsia="zh-CN"/>
              </w:rPr>
            </w:pPr>
          </w:p>
        </w:tc>
        <w:tc>
          <w:tcPr>
            <w:tcW w:w="416" w:type="dxa"/>
            <w:vMerge w:val="restart"/>
            <w:vAlign w:val="center"/>
          </w:tcPr>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电    话：</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电    话：</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传    真：</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传    真：</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邮    编： 414000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邮    编： 414000</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ind w:left="1200" w:hanging="1200" w:hangingChars="5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地    址：</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地    址：</w:t>
            </w:r>
          </w:p>
        </w:tc>
        <w:tc>
          <w:tcPr>
            <w:tcW w:w="416" w:type="dxa"/>
            <w:vMerge w:val="continue"/>
            <w:vAlign w:val="center"/>
          </w:tcPr>
          <w:p>
            <w:pPr>
              <w:jc w:val="both"/>
              <w:rPr>
                <w:rFonts w:hint="default" w:ascii="Times New Roman" w:hAnsi="Times New Roman" w:eastAsia="宋体" w:cs="Times New Roman"/>
                <w:sz w:val="28"/>
                <w:szCs w:val="28"/>
                <w:lang w:eastAsia="zh-CN"/>
              </w:rPr>
            </w:pPr>
          </w:p>
        </w:tc>
      </w:tr>
    </w:tbl>
    <w:p>
      <w:pPr>
        <w:widowControl/>
        <w:autoSpaceDE/>
        <w:autoSpaceDN/>
        <w:rPr>
          <w:rFonts w:hint="default" w:ascii="Times New Roman" w:hAnsi="Times New Roman" w:eastAsia="宋体" w:cs="Times New Roman"/>
          <w:b/>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sz w:val="24"/>
          <w:szCs w:val="24"/>
          <w:lang w:eastAsia="zh-CN"/>
        </w:rPr>
        <w:br w:type="page"/>
      </w:r>
    </w:p>
    <w:p>
      <w:pPr>
        <w:spacing w:line="386" w:lineRule="exact"/>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表一</w:t>
      </w:r>
    </w:p>
    <w:tbl>
      <w:tblPr>
        <w:tblStyle w:val="1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5"/>
        <w:gridCol w:w="2774"/>
        <w:gridCol w:w="1830"/>
        <w:gridCol w:w="639"/>
        <w:gridCol w:w="1113"/>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建设项目名称</w:t>
            </w:r>
          </w:p>
        </w:tc>
        <w:tc>
          <w:tcPr>
            <w:tcW w:w="7639" w:type="dxa"/>
            <w:gridSpan w:val="5"/>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岳阳云港物流园</w:t>
            </w:r>
            <w:r>
              <w:rPr>
                <w:rFonts w:hint="eastAsia" w:ascii="Times New Roman" w:hAnsi="Times New Roman" w:cs="Times New Roman"/>
                <w:color w:val="000000" w:themeColor="text1"/>
                <w:sz w:val="24"/>
                <w:szCs w:val="24"/>
                <w:lang w:val="en-US" w:eastAsia="zh-CN"/>
                <w14:textFill>
                  <w14:solidFill>
                    <w14:schemeClr w14:val="tx1"/>
                  </w14:solidFill>
                </w14:textFill>
              </w:rPr>
              <w:t>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建设单位名称</w:t>
            </w:r>
          </w:p>
        </w:tc>
        <w:tc>
          <w:tcPr>
            <w:tcW w:w="7639" w:type="dxa"/>
            <w:gridSpan w:val="5"/>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岳阳云港化工物流有限公司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建设项目性质</w:t>
            </w:r>
          </w:p>
        </w:tc>
        <w:tc>
          <w:tcPr>
            <w:tcW w:w="7639" w:type="dxa"/>
            <w:gridSpan w:val="5"/>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建设地点</w:t>
            </w:r>
          </w:p>
        </w:tc>
        <w:tc>
          <w:tcPr>
            <w:tcW w:w="7639" w:type="dxa"/>
            <w:gridSpan w:val="5"/>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auto"/>
                <w:sz w:val="24"/>
                <w:highlight w:val="none"/>
                <w:u w:val="none" w:color="auto"/>
                <w:lang w:val="en-US" w:eastAsia="zh-CN"/>
              </w:rPr>
              <w:t>岳阳市云溪区云港路与许广高速公路交汇处东北侧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主要服务类型</w:t>
            </w:r>
          </w:p>
        </w:tc>
        <w:tc>
          <w:tcPr>
            <w:tcW w:w="7639" w:type="dxa"/>
            <w:gridSpan w:val="5"/>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4"/>
                <w:highlight w:val="none"/>
                <w:u w:val="none" w:color="auto"/>
                <w:lang w:val="en-US" w:eastAsia="zh-CN"/>
              </w:rPr>
            </w:pPr>
            <w:r>
              <w:rPr>
                <w:rFonts w:hint="eastAsia" w:ascii="Times New Roman" w:hAnsi="Times New Roman" w:cs="Times New Roman"/>
                <w:color w:val="auto"/>
                <w:sz w:val="24"/>
                <w:szCs w:val="24"/>
                <w:lang w:val="en-US" w:eastAsia="zh-CN"/>
              </w:rPr>
              <w:t>货物配送、停车服务、车辆维修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设计生产能力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货物配送量1500吨/天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实际生产能力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货物配送量1500吨/天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2013.4</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3035" w:type="dxa"/>
            <w:gridSpan w:val="3"/>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调试时间</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14.6</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验收现场监测时间</w:t>
            </w:r>
          </w:p>
        </w:tc>
        <w:tc>
          <w:tcPr>
            <w:tcW w:w="3035" w:type="dxa"/>
            <w:gridSpan w:val="3"/>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cs="Times New Roman"/>
                <w:color w:val="auto"/>
                <w:sz w:val="24"/>
                <w:szCs w:val="24"/>
                <w:lang w:val="en-US" w:eastAsia="zh-CN"/>
              </w:rPr>
              <w:t>11.17</w:t>
            </w:r>
            <w:r>
              <w:rPr>
                <w:rFonts w:hint="default" w:ascii="Times New Roman" w:hAnsi="Times New Roman" w:eastAsia="宋体" w:cs="Times New Roman"/>
                <w:color w:val="auto"/>
                <w:sz w:val="24"/>
                <w:szCs w:val="24"/>
                <w:lang w:val="en-US" w:eastAsia="zh-CN"/>
              </w:rPr>
              <w:t>-2020.</w:t>
            </w:r>
            <w:r>
              <w:rPr>
                <w:rFonts w:hint="eastAsia" w:ascii="Times New Roman" w:hAnsi="Times New Roman" w:cs="Times New Roman"/>
                <w:color w:val="auto"/>
                <w:sz w:val="24"/>
                <w:szCs w:val="24"/>
                <w:lang w:val="en-US" w:eastAsia="zh-CN"/>
              </w:rPr>
              <w:t>11.18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环评报告</w:t>
            </w:r>
          </w:p>
          <w:p>
            <w:pPr>
              <w:pStyle w:val="27"/>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审批部门</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岳阳市</w:t>
            </w:r>
            <w:r>
              <w:rPr>
                <w:rFonts w:hint="eastAsia" w:ascii="Times New Roman" w:hAnsi="Times New Roman" w:cs="Times New Roman"/>
                <w:color w:val="000000" w:themeColor="text1"/>
                <w:sz w:val="24"/>
                <w:szCs w:val="24"/>
                <w:lang w:val="en-US" w:eastAsia="zh-CN"/>
                <w14:textFill>
                  <w14:solidFill>
                    <w14:schemeClr w14:val="tx1"/>
                  </w14:solidFill>
                </w14:textFill>
              </w:rPr>
              <w:t>环境保护局</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报告</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编制单位</w:t>
            </w:r>
          </w:p>
        </w:tc>
        <w:tc>
          <w:tcPr>
            <w:tcW w:w="3035" w:type="dxa"/>
            <w:gridSpan w:val="3"/>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中国人民解放军环境科学研究中心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环保设施设计</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单位</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环保设施施工单位</w:t>
            </w:r>
          </w:p>
        </w:tc>
        <w:tc>
          <w:tcPr>
            <w:tcW w:w="3035" w:type="dxa"/>
            <w:gridSpan w:val="3"/>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投资总概算</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8000</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环保投资总概算</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144</w:t>
            </w:r>
          </w:p>
        </w:tc>
        <w:tc>
          <w:tcPr>
            <w:tcW w:w="1113"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实际总概算</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8000</w:t>
            </w:r>
          </w:p>
        </w:tc>
        <w:tc>
          <w:tcPr>
            <w:tcW w:w="1830"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150</w:t>
            </w:r>
          </w:p>
        </w:tc>
        <w:tc>
          <w:tcPr>
            <w:tcW w:w="1113"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1"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验</w:t>
            </w:r>
          </w:p>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收</w:t>
            </w:r>
          </w:p>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监</w:t>
            </w:r>
          </w:p>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测</w:t>
            </w:r>
          </w:p>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依</w:t>
            </w:r>
          </w:p>
          <w:p>
            <w:pPr>
              <w:pStyle w:val="27"/>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8"/>
                <w:szCs w:val="28"/>
              </w:rPr>
              <w:t>据</w:t>
            </w:r>
          </w:p>
        </w:tc>
        <w:tc>
          <w:tcPr>
            <w:tcW w:w="7639"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（1）《建设项目环境保护管理条例》，中华人民共和国国务院令第682号，2017年10月1日；</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（2）《建设项目竣工环境保护验收暂行办法》，国环规环评〔2017〕4号令；</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（4）《中华人民共和国水污染防治法》，2018年1月1日；</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（5）《中华人民共和国大气污染防治法》，2018年10月26日；</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（6）《中华人民共和国环境噪声污染防治法》，2018年12月29日；</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（7）《</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岳阳云港化工物流有限公司岳阳云港物流园建设项目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cs="Times New Roman"/>
                <w:color w:val="000000" w:themeColor="text1"/>
                <w:sz w:val="28"/>
                <w:szCs w:val="28"/>
                <w:lang w:val="en-US" w:eastAsia="zh-CN"/>
                <w14:textFill>
                  <w14:solidFill>
                    <w14:schemeClr w14:val="tx1"/>
                  </w14:solidFill>
                </w14:textFill>
              </w:rPr>
              <w:t>中国人民解放军环境科学研究中心</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2013</w:t>
            </w:r>
            <w:r>
              <w:rPr>
                <w:rFonts w:hint="default" w:ascii="Times New Roman" w:hAnsi="Times New Roman" w:eastAsia="宋体" w:cs="Times New Roman"/>
                <w:color w:val="auto"/>
                <w:sz w:val="28"/>
                <w:szCs w:val="28"/>
                <w:lang w:eastAsia="zh-CN"/>
              </w:rPr>
              <w:t>年</w:t>
            </w:r>
            <w:r>
              <w:rPr>
                <w:rFonts w:hint="default"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8"/>
                <w:szCs w:val="28"/>
                <w:lang w:eastAsia="zh-CN"/>
              </w:rPr>
              <w:t>（8）《</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岳阳云港化工物流有限公司岳阳云港物流园建设项目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cs="Times New Roman"/>
                <w:color w:val="auto"/>
                <w:sz w:val="28"/>
                <w:szCs w:val="28"/>
                <w:lang w:val="en-US" w:eastAsia="zh-CN"/>
              </w:rPr>
              <w:t>审批意见</w:t>
            </w:r>
            <w:r>
              <w:rPr>
                <w:rFonts w:hint="default" w:ascii="Times New Roman" w:hAnsi="Times New Roman" w:eastAsia="宋体" w:cs="Times New Roman"/>
                <w:color w:val="auto"/>
                <w:sz w:val="28"/>
                <w:szCs w:val="28"/>
                <w:lang w:eastAsia="zh-CN"/>
              </w:rPr>
              <w:t>》，岳环评〔20</w:t>
            </w:r>
            <w:r>
              <w:rPr>
                <w:rFonts w:hint="default" w:ascii="Times New Roman" w:hAnsi="Times New Roman" w:cs="Times New Roman"/>
                <w:color w:val="auto"/>
                <w:sz w:val="28"/>
                <w:szCs w:val="28"/>
                <w:lang w:val="en-US" w:eastAsia="zh-CN"/>
              </w:rPr>
              <w:t>13</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51</w:t>
            </w:r>
            <w:r>
              <w:rPr>
                <w:rFonts w:hint="default" w:ascii="Times New Roman" w:hAnsi="Times New Roman" w:eastAsia="宋体" w:cs="Times New Roman"/>
                <w:color w:val="auto"/>
                <w:sz w:val="28"/>
                <w:szCs w:val="28"/>
                <w:lang w:eastAsia="zh-CN"/>
              </w:rPr>
              <w:t>号，20</w:t>
            </w:r>
            <w:r>
              <w:rPr>
                <w:rFonts w:hint="default" w:ascii="Times New Roman" w:hAnsi="Times New Roman" w:cs="Times New Roman"/>
                <w:color w:val="auto"/>
                <w:sz w:val="28"/>
                <w:szCs w:val="28"/>
                <w:lang w:val="en-US" w:eastAsia="zh-CN"/>
              </w:rPr>
              <w:t>13</w:t>
            </w:r>
            <w:r>
              <w:rPr>
                <w:rFonts w:hint="default" w:ascii="Times New Roman" w:hAnsi="Times New Roman" w:eastAsia="宋体" w:cs="Times New Roman"/>
                <w:color w:val="auto"/>
                <w:sz w:val="28"/>
                <w:szCs w:val="28"/>
                <w:lang w:eastAsia="zh-CN"/>
              </w:rPr>
              <w:t>年</w:t>
            </w:r>
            <w:r>
              <w:rPr>
                <w:rFonts w:hint="default"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eastAsia="zh-CN"/>
              </w:rPr>
              <w:t>月</w:t>
            </w:r>
            <w:r>
              <w:rPr>
                <w:rFonts w:hint="default" w:ascii="Times New Roman" w:hAnsi="Times New Roman" w:cs="Times New Roman"/>
                <w:color w:val="auto"/>
                <w:sz w:val="28"/>
                <w:szCs w:val="28"/>
                <w:lang w:val="en-US" w:eastAsia="zh-CN"/>
              </w:rPr>
              <w:t>27</w:t>
            </w:r>
            <w:r>
              <w:rPr>
                <w:rFonts w:hint="default" w:ascii="Times New Roman" w:hAnsi="Times New Roman" w:eastAsia="宋体" w:cs="Times New Roman"/>
                <w:color w:val="auto"/>
                <w:sz w:val="28"/>
                <w:szCs w:val="28"/>
                <w:lang w:eastAsia="zh-CN"/>
              </w:rPr>
              <w:t>日。</w:t>
            </w:r>
            <w:r>
              <w:rPr>
                <w:rFonts w:hint="default" w:ascii="Times New Roman" w:hAnsi="Times New Roman" w:cs="Times New Roman"/>
                <w:sz w:val="28"/>
                <w:szCs w:val="28"/>
              </w:rPr>
              <w:br w:type="textWrapping"/>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9</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岳阳市生态环境局云溪分局</w:t>
            </w:r>
            <w:r>
              <w:rPr>
                <w:rFonts w:hint="default" w:ascii="Times New Roman" w:hAnsi="Times New Roman" w:cs="Times New Roman"/>
                <w:color w:val="auto"/>
                <w:sz w:val="28"/>
                <w:szCs w:val="28"/>
                <w:lang w:val="en-US" w:eastAsia="zh-CN"/>
              </w:rPr>
              <w:t>污染源</w:t>
            </w:r>
            <w:r>
              <w:rPr>
                <w:rFonts w:hint="default" w:ascii="Times New Roman" w:hAnsi="Times New Roman" w:eastAsia="宋体" w:cs="Times New Roman"/>
                <w:color w:val="auto"/>
                <w:sz w:val="28"/>
                <w:szCs w:val="28"/>
                <w:lang w:val="en-US" w:eastAsia="zh-CN"/>
              </w:rPr>
              <w:t>现场监察记录》</w:t>
            </w:r>
            <w:r>
              <w:rPr>
                <w:rFonts w:hint="default" w:ascii="Times New Roman" w:hAnsi="Times New Roman" w:cs="Times New Roman"/>
                <w:color w:val="auto"/>
                <w:sz w:val="28"/>
                <w:szCs w:val="28"/>
                <w:lang w:val="en-US" w:eastAsia="zh-CN"/>
              </w:rPr>
              <w:t>2020年9月4日</w:t>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r>
              <w:rPr>
                <w:rFonts w:hint="default" w:ascii="Times New Roman" w:hAnsi="Times New Roman" w:cs="Times New Roman"/>
                <w:color w:val="auto"/>
                <w:sz w:val="28"/>
                <w:szCs w:val="28"/>
                <w:lang w:val="en-US" w:eastAsia="zh-CN"/>
              </w:rPr>
              <w:br w:type="textWrapp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8" w:hRule="atLeast"/>
          <w:jc w:val="center"/>
        </w:trPr>
        <w:tc>
          <w:tcPr>
            <w:tcW w:w="1555" w:type="dxa"/>
            <w:vAlign w:val="center"/>
          </w:tcPr>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验</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收</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监</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测</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评</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价</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标</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准</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级</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别</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限</w:t>
            </w:r>
          </w:p>
          <w:p>
            <w:pPr>
              <w:pStyle w:val="27"/>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值</w:t>
            </w:r>
          </w:p>
        </w:tc>
        <w:tc>
          <w:tcPr>
            <w:tcW w:w="7639"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auto"/>
                <w:sz w:val="28"/>
                <w:szCs w:val="28"/>
                <w:lang w:val="en-US" w:eastAsia="zh-CN"/>
              </w:rPr>
              <w:t>一、</w:t>
            </w:r>
            <w:r>
              <w:rPr>
                <w:rFonts w:hint="eastAsia" w:asciiTheme="minorEastAsia" w:hAnsiTheme="minorEastAsia" w:eastAsiaTheme="minorEastAsia" w:cstheme="minorEastAsia"/>
                <w:b/>
                <w:bCs/>
                <w:color w:val="auto"/>
                <w:sz w:val="28"/>
                <w:szCs w:val="28"/>
                <w:lang w:eastAsia="zh-CN"/>
              </w:rPr>
              <w:t>验收监测污染物排放标准：</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（1）废气</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w:t>
            </w:r>
            <w:r>
              <w:rPr>
                <w:rFonts w:hint="default" w:ascii="Times New Roman" w:hAnsi="Times New Roman" w:cs="Times New Roman"/>
                <w:color w:val="auto"/>
                <w:sz w:val="28"/>
                <w:szCs w:val="28"/>
                <w:lang w:val="en-US" w:eastAsia="zh-CN"/>
              </w:rPr>
              <w:t>项目废气主要为汽车尾气和粉尘等无组织废气及食堂油烟，</w:t>
            </w:r>
            <w:r>
              <w:rPr>
                <w:rFonts w:hint="default" w:ascii="Times New Roman" w:hAnsi="Times New Roman" w:cs="Times New Roman" w:eastAsiaTheme="minorEastAsia"/>
                <w:sz w:val="28"/>
                <w:szCs w:val="28"/>
                <w:lang w:val="en-US" w:eastAsia="zh-CN"/>
              </w:rPr>
              <w:t>根据</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岳阳云港化工物流有限公司岳阳云港物流园建设项目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cs="Times New Roman"/>
                <w:color w:val="auto"/>
                <w:sz w:val="28"/>
                <w:szCs w:val="28"/>
                <w:lang w:val="en-US" w:eastAsia="zh-CN"/>
              </w:rPr>
              <w:t>及审批意见，项目汽车尾气和粉尘无组织废气执行《大气污染物综合排放标准》（GB16297-1996）</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但汽车尾气中CO无相关标准值，也无本地相关排放标准，因此本项目无组织废气</w:t>
            </w:r>
            <w:r>
              <w:rPr>
                <w:rFonts w:hint="eastAsia" w:cs="Times New Roman"/>
                <w:color w:val="auto"/>
                <w:sz w:val="28"/>
                <w:szCs w:val="28"/>
                <w:lang w:val="en-US" w:eastAsia="zh-CN"/>
              </w:rPr>
              <w:t>汽车</w:t>
            </w:r>
            <w:r>
              <w:rPr>
                <w:rFonts w:hint="default" w:ascii="Times New Roman" w:hAnsi="Times New Roman" w:cs="Times New Roman"/>
                <w:color w:val="auto"/>
                <w:sz w:val="28"/>
                <w:szCs w:val="28"/>
                <w:lang w:val="en-US" w:eastAsia="zh-CN"/>
              </w:rPr>
              <w:t>尾气</w:t>
            </w:r>
            <w:r>
              <w:rPr>
                <w:rFonts w:hint="eastAsia" w:cs="Times New Roman"/>
                <w:color w:val="auto"/>
                <w:sz w:val="28"/>
                <w:szCs w:val="28"/>
                <w:lang w:val="en-US" w:eastAsia="zh-CN"/>
              </w:rPr>
              <w:t>中</w:t>
            </w:r>
            <w:r>
              <w:rPr>
                <w:rFonts w:hint="default" w:ascii="Times New Roman" w:hAnsi="Times New Roman" w:cs="Times New Roman"/>
                <w:color w:val="auto"/>
                <w:sz w:val="28"/>
                <w:szCs w:val="28"/>
                <w:lang w:val="en-US" w:eastAsia="zh-CN"/>
              </w:rPr>
              <w:t>CO参考广东省地方标准《大气污染物排放限值》（DB44/27-2001）中无组织限值。食堂油烟执行《饮食业油烟排放标准</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试行</w:t>
            </w:r>
            <w:r>
              <w:rPr>
                <w:rFonts w:hint="eastAsia" w:cs="Times New Roman"/>
                <w:color w:val="auto"/>
                <w:sz w:val="28"/>
                <w:szCs w:val="28"/>
                <w:lang w:val="en-US" w:eastAsia="zh-CN"/>
              </w:rPr>
              <w:t>）</w:t>
            </w:r>
            <w:r>
              <w:rPr>
                <w:rFonts w:hint="default" w:ascii="Times New Roman" w:hAnsi="Times New Roman" w:cs="Times New Roman"/>
                <w:color w:val="auto"/>
                <w:sz w:val="28"/>
                <w:szCs w:val="28"/>
                <w:lang w:val="en-US" w:eastAsia="zh-CN"/>
              </w:rPr>
              <w:t>》(1318483-2001）标准。</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（2）废水</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本</w:t>
            </w:r>
            <w:r>
              <w:rPr>
                <w:rFonts w:hint="default" w:ascii="Times New Roman" w:hAnsi="Times New Roman" w:cs="Times New Roman"/>
                <w:color w:val="auto"/>
                <w:sz w:val="28"/>
                <w:szCs w:val="28"/>
                <w:lang w:val="en-US" w:eastAsia="zh-CN"/>
              </w:rPr>
              <w:t>项目废水主要为生活污水，</w:t>
            </w:r>
            <w:r>
              <w:rPr>
                <w:rFonts w:hint="eastAsia" w:cs="Times New Roman"/>
                <w:color w:val="auto"/>
                <w:sz w:val="28"/>
                <w:szCs w:val="28"/>
                <w:lang w:val="en-US" w:eastAsia="zh-CN"/>
              </w:rPr>
              <w:t>通过区域城镇下水管网排入云溪污水处理厂进行达标处理，项目生活废水</w:t>
            </w:r>
            <w:r>
              <w:rPr>
                <w:rFonts w:hint="default" w:ascii="Times New Roman" w:hAnsi="Times New Roman" w:cs="Times New Roman"/>
                <w:color w:val="auto"/>
                <w:sz w:val="28"/>
                <w:szCs w:val="28"/>
                <w:lang w:val="en-US" w:eastAsia="zh-CN"/>
              </w:rPr>
              <w:t>执行《污水综合排放标准》（GB8978-1996）三级标准，其中氨氮参考《污水排入城镇下水道水质标准》（GB/T31962-2015）表1标准。</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项目</w:t>
            </w:r>
            <w:r>
              <w:rPr>
                <w:rFonts w:hint="eastAsia" w:ascii="Times New Roman" w:hAnsi="Times New Roman" w:cs="Times New Roman"/>
                <w:color w:val="auto"/>
                <w:sz w:val="28"/>
                <w:szCs w:val="28"/>
                <w:lang w:val="en-US" w:eastAsia="zh-CN"/>
              </w:rPr>
              <w:t>初期雨水经过</w:t>
            </w:r>
            <w:r>
              <w:rPr>
                <w:rFonts w:hint="eastAsia" w:cs="Times New Roman"/>
                <w:color w:val="auto"/>
                <w:sz w:val="28"/>
                <w:szCs w:val="28"/>
                <w:lang w:val="en-US" w:eastAsia="zh-CN"/>
              </w:rPr>
              <w:t>停车场围堰以及修理区雨水管网导流后汇入本项目设置的</w:t>
            </w:r>
            <w:r>
              <w:rPr>
                <w:rFonts w:hint="eastAsia" w:ascii="Times New Roman" w:hAnsi="Times New Roman" w:cs="Times New Roman"/>
                <w:color w:val="auto"/>
                <w:sz w:val="28"/>
                <w:szCs w:val="28"/>
                <w:lang w:val="en-US" w:eastAsia="zh-CN"/>
              </w:rPr>
              <w:t>隔油</w:t>
            </w:r>
            <w:r>
              <w:rPr>
                <w:rFonts w:hint="eastAsia" w:cs="Times New Roman"/>
                <w:color w:val="auto"/>
                <w:sz w:val="28"/>
                <w:szCs w:val="28"/>
                <w:lang w:val="en-US" w:eastAsia="zh-CN"/>
              </w:rPr>
              <w:t>池</w:t>
            </w:r>
            <w:r>
              <w:rPr>
                <w:rFonts w:hint="eastAsia" w:ascii="Times New Roman" w:hAnsi="Times New Roman" w:cs="Times New Roman"/>
                <w:color w:val="auto"/>
                <w:sz w:val="28"/>
                <w:szCs w:val="28"/>
                <w:lang w:val="en-US" w:eastAsia="zh-CN"/>
              </w:rPr>
              <w:t>处理后，回用于</w:t>
            </w:r>
            <w:r>
              <w:rPr>
                <w:rFonts w:hint="eastAsia" w:cs="Times New Roman"/>
                <w:color w:val="auto"/>
                <w:kern w:val="2"/>
                <w:sz w:val="28"/>
                <w:szCs w:val="28"/>
                <w:lang w:val="en-US" w:eastAsia="zh-CN" w:bidi="ar"/>
              </w:rPr>
              <w:t>危货槽罐车清洗</w:t>
            </w:r>
            <w:r>
              <w:rPr>
                <w:rFonts w:hint="eastAsia" w:ascii="Times New Roman" w:hAnsi="Times New Roman" w:cs="Times New Roman"/>
                <w:color w:val="auto"/>
                <w:sz w:val="28"/>
                <w:szCs w:val="28"/>
                <w:lang w:val="en-US" w:eastAsia="zh-CN"/>
              </w:rPr>
              <w:t>用</w:t>
            </w:r>
            <w:r>
              <w:rPr>
                <w:rFonts w:hint="eastAsia" w:cs="Times New Roman"/>
                <w:color w:val="auto"/>
                <w:sz w:val="28"/>
                <w:szCs w:val="28"/>
                <w:lang w:val="en-US" w:eastAsia="zh-CN"/>
              </w:rPr>
              <w:t>。</w:t>
            </w:r>
            <w:r>
              <w:rPr>
                <w:rFonts w:hint="eastAsia" w:ascii="Times New Roman" w:hAnsi="Times New Roman" w:cs="Times New Roman"/>
                <w:color w:val="auto"/>
                <w:sz w:val="28"/>
                <w:szCs w:val="28"/>
                <w:u w:val="single"/>
                <w:lang w:val="en-US" w:eastAsia="zh-CN"/>
              </w:rPr>
              <w:t>（</w:t>
            </w:r>
            <w:r>
              <w:rPr>
                <w:rFonts w:hint="eastAsia" w:cs="Times New Roman"/>
                <w:color w:val="auto"/>
                <w:kern w:val="2"/>
                <w:sz w:val="28"/>
                <w:szCs w:val="28"/>
                <w:u w:val="single"/>
                <w:lang w:val="en-US" w:eastAsia="zh-CN" w:bidi="ar"/>
              </w:rPr>
              <w:t>危货槽罐车清洗段已经单独完成了竣工</w:t>
            </w:r>
            <w:r>
              <w:rPr>
                <w:rFonts w:hint="eastAsia" w:ascii="Times New Roman" w:hAnsi="Times New Roman" w:cs="Times New Roman"/>
                <w:color w:val="auto"/>
                <w:sz w:val="28"/>
                <w:szCs w:val="28"/>
                <w:u w:val="single"/>
                <w:lang w:val="en-US" w:eastAsia="zh-CN"/>
              </w:rPr>
              <w:t>环保验收）</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（3）噪声</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eastAsia" w:cs="Times New Roman" w:eastAsiaTheme="minorEastAsia"/>
                <w:sz w:val="28"/>
                <w:szCs w:val="28"/>
                <w:lang w:eastAsia="zh-CN"/>
              </w:rPr>
            </w:pPr>
            <w:r>
              <w:rPr>
                <w:rFonts w:hint="eastAsia" w:ascii="Times New Roman" w:hAnsi="Times New Roman" w:cs="Times New Roman" w:eastAsiaTheme="minorEastAsia"/>
                <w:sz w:val="28"/>
                <w:szCs w:val="28"/>
                <w:lang w:val="en-US" w:eastAsia="zh-CN"/>
              </w:rPr>
              <w:t>本项目厂区噪声执行</w:t>
            </w:r>
            <w:r>
              <w:rPr>
                <w:rFonts w:hint="default" w:ascii="Times New Roman" w:hAnsi="Times New Roman" w:cs="Times New Roman" w:eastAsiaTheme="minorEastAsia"/>
                <w:sz w:val="28"/>
                <w:szCs w:val="28"/>
                <w:lang w:eastAsia="zh-CN"/>
              </w:rPr>
              <w:t>《工业企业厂界环境噪声排放标准》（GB 12348-2008）</w:t>
            </w:r>
            <w:r>
              <w:rPr>
                <w:rFonts w:hint="default" w:ascii="Times New Roman" w:hAnsi="Times New Roman" w:cs="Times New Roman" w:eastAsiaTheme="minorEastAsia"/>
                <w:sz w:val="28"/>
                <w:szCs w:val="28"/>
                <w:lang w:val="en-US" w:eastAsia="zh-CN"/>
              </w:rPr>
              <w:t>3</w:t>
            </w:r>
            <w:r>
              <w:rPr>
                <w:rFonts w:hint="default" w:ascii="Times New Roman" w:hAnsi="Times New Roman" w:cs="Times New Roman" w:eastAsiaTheme="minorEastAsia"/>
                <w:sz w:val="28"/>
                <w:szCs w:val="28"/>
                <w:lang w:eastAsia="zh-CN"/>
              </w:rPr>
              <w:t>类标准</w:t>
            </w:r>
            <w:r>
              <w:rPr>
                <w:rFonts w:hint="eastAsia" w:cs="Times New Roman" w:eastAsiaTheme="minorEastAsia"/>
                <w:sz w:val="28"/>
                <w:szCs w:val="28"/>
                <w:lang w:eastAsia="zh-CN"/>
              </w:rPr>
              <w:t>。</w:t>
            </w:r>
          </w:p>
          <w:p>
            <w:pPr>
              <w:pStyle w:val="2"/>
              <w:keepNext w:val="0"/>
              <w:keepLines w:val="0"/>
              <w:pageBreakBefore w:val="0"/>
              <w:widowControl w:val="0"/>
              <w:kinsoku/>
              <w:wordWrap/>
              <w:overflowPunct/>
              <w:topLinePunct w:val="0"/>
              <w:bidi w:val="0"/>
              <w:snapToGrid/>
              <w:spacing w:line="360" w:lineRule="auto"/>
              <w:jc w:val="both"/>
              <w:textAlignment w:val="auto"/>
              <w:rPr>
                <w:rFonts w:hint="eastAsia" w:cs="Times New Roman" w:eastAsiaTheme="minorEastAsia"/>
                <w:sz w:val="24"/>
                <w:szCs w:val="24"/>
                <w:lang w:val="en-US" w:eastAsia="zh-CN"/>
              </w:rPr>
            </w:pP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default" w:cs="Times New Roman" w:eastAsiaTheme="minorEastAsia"/>
                <w:sz w:val="28"/>
                <w:szCs w:val="28"/>
                <w:lang w:val="en-US" w:eastAsia="zh-CN"/>
              </w:rPr>
            </w:pPr>
            <w:r>
              <w:rPr>
                <w:rFonts w:hint="eastAsia" w:cs="Times New Roman" w:eastAsiaTheme="minorEastAsia"/>
                <w:sz w:val="28"/>
                <w:szCs w:val="28"/>
                <w:lang w:val="en-US" w:eastAsia="zh-CN"/>
              </w:rPr>
              <w:t>项目验收执行标准情况见下表。</w:t>
            </w:r>
          </w:p>
          <w:p>
            <w:pPr>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rPr>
              <w:t>表</w:t>
            </w:r>
            <w:r>
              <w:rPr>
                <w:rFonts w:hint="eastAsia" w:ascii="Times New Roman" w:hAnsi="Times New Roman"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w:t>
            </w:r>
            <w:r>
              <w:rPr>
                <w:rFonts w:hint="eastAsia" w:ascii="Times New Roman" w:hAnsi="Times New Roman" w:cs="Times New Roman"/>
                <w:b/>
                <w:color w:val="auto"/>
                <w:sz w:val="24"/>
                <w:szCs w:val="24"/>
                <w:lang w:val="en-US" w:eastAsia="zh-CN"/>
              </w:rPr>
              <w:t>项目验收排放</w:t>
            </w:r>
            <w:r>
              <w:rPr>
                <w:rFonts w:hint="default" w:ascii="Times New Roman" w:hAnsi="Times New Roman" w:eastAsia="宋体" w:cs="Times New Roman"/>
                <w:b/>
                <w:color w:val="auto"/>
                <w:sz w:val="24"/>
                <w:szCs w:val="24"/>
              </w:rPr>
              <w:t>标准一览表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2316"/>
              <w:gridCol w:w="1154"/>
              <w:gridCol w:w="1118"/>
              <w:gridCol w:w="1279"/>
              <w:gridCol w:w="1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要素分类</w:t>
                  </w:r>
                </w:p>
              </w:tc>
              <w:tc>
                <w:tcPr>
                  <w:tcW w:w="1518"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标准名称</w:t>
                  </w:r>
                </w:p>
              </w:tc>
              <w:tc>
                <w:tcPr>
                  <w:tcW w:w="756"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适用类别</w:t>
                  </w:r>
                </w:p>
              </w:tc>
              <w:tc>
                <w:tcPr>
                  <w:tcW w:w="1571" w:type="pct"/>
                  <w:gridSpan w:val="2"/>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标准限值</w:t>
                  </w:r>
                </w:p>
              </w:tc>
              <w:tc>
                <w:tcPr>
                  <w:tcW w:w="674"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评价</w:t>
                  </w:r>
                </w:p>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参数名称</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eastAsiaTheme="minorEastAsia"/>
                      <w:b/>
                      <w:bCs/>
                      <w:color w:val="auto"/>
                      <w:sz w:val="21"/>
                      <w:szCs w:val="21"/>
                      <w:vertAlign w:val="baseline"/>
                      <w:lang w:eastAsia="zh-CN"/>
                    </w:rPr>
                    <w:t>排放限值</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废气</w:t>
                  </w:r>
                </w:p>
              </w:tc>
              <w:tc>
                <w:tcPr>
                  <w:tcW w:w="1518"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sz w:val="21"/>
                      <w:szCs w:val="21"/>
                      <w:lang w:val="en-US" w:eastAsia="zh-CN"/>
                    </w:rPr>
                    <w:t>《大气污染物综合排放标准》（GB16297-1996）</w:t>
                  </w:r>
                </w:p>
              </w:tc>
              <w:tc>
                <w:tcPr>
                  <w:tcW w:w="756"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表</w:t>
                  </w:r>
                  <w:r>
                    <w:rPr>
                      <w:rFonts w:hint="default" w:ascii="Times New Roman" w:hAnsi="Times New Roman" w:cs="Times New Roman" w:eastAsiaTheme="minorEastAsia"/>
                      <w:color w:val="auto"/>
                      <w:sz w:val="21"/>
                      <w:szCs w:val="21"/>
                      <w:vertAlign w:val="baseline"/>
                      <w:lang w:val="en-US" w:eastAsia="zh-CN"/>
                    </w:rPr>
                    <w:t>2无组织限值</w:t>
                  </w: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lang w:val="en-US" w:eastAsia="zh-CN"/>
                    </w:rPr>
                    <w:t>颗粒物</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p>
              </w:tc>
              <w:tc>
                <w:tcPr>
                  <w:tcW w:w="674" w:type="pct"/>
                  <w:vMerge w:val="restart"/>
                  <w:tcBorders>
                    <w:tl2br w:val="nil"/>
                    <w:tr2bl w:val="nil"/>
                  </w:tcBorders>
                  <w:vAlign w:val="center"/>
                </w:tcPr>
                <w:p>
                  <w:pPr>
                    <w:pStyle w:val="9"/>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无组织废气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NOx</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kern w:val="0"/>
                      <w:sz w:val="21"/>
                      <w:szCs w:val="21"/>
                      <w:lang w:val="en-US" w:eastAsia="zh-CN"/>
                    </w:rPr>
                    <w:t>0.12</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kern w:val="0"/>
                      <w:sz w:val="21"/>
                      <w:szCs w:val="21"/>
                      <w:lang w:val="en-US" w:eastAsia="zh-CN"/>
                    </w:rPr>
                    <w:t>非甲烷总烃</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kern w:val="0"/>
                      <w:sz w:val="21"/>
                      <w:szCs w:val="21"/>
                      <w:lang w:val="en-US" w:eastAsia="zh-CN"/>
                    </w:rPr>
                    <w:t>4</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jc w:val="center"/>
                    <w:rPr>
                      <w:rFonts w:hint="default" w:ascii="Times New Roman" w:hAnsi="Times New Roman" w:cs="Times New Roman" w:eastAsiaTheme="minorEastAsia"/>
                      <w:sz w:val="21"/>
                      <w:szCs w:val="21"/>
                    </w:rPr>
                  </w:pPr>
                </w:p>
              </w:tc>
              <w:tc>
                <w:tcPr>
                  <w:tcW w:w="1518" w:type="pct"/>
                  <w:tcBorders>
                    <w:tl2br w:val="nil"/>
                    <w:tr2bl w:val="nil"/>
                  </w:tcBorders>
                  <w:vAlign w:val="center"/>
                </w:tcPr>
                <w:p>
                  <w:pPr>
                    <w:pStyle w:val="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参考广东省地方标准《大气污染物排放限值》（DB44/27-2001）</w:t>
                  </w:r>
                </w:p>
              </w:tc>
              <w:tc>
                <w:tcPr>
                  <w:tcW w:w="756" w:type="pct"/>
                  <w:tcBorders>
                    <w:tl2br w:val="nil"/>
                    <w:tr2bl w:val="nil"/>
                  </w:tcBorders>
                  <w:vAlign w:val="center"/>
                </w:tcPr>
                <w:p>
                  <w:pPr>
                    <w:pStyle w:val="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第二时段无组织排放监控浓度限值</w:t>
                  </w: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CO</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8</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p>
              </w:tc>
              <w:tc>
                <w:tcPr>
                  <w:tcW w:w="674" w:type="pct"/>
                  <w:tcBorders>
                    <w:tl2br w:val="nil"/>
                    <w:tr2bl w:val="nil"/>
                  </w:tcBorders>
                  <w:vAlign w:val="center"/>
                </w:tcPr>
                <w:p>
                  <w:pPr>
                    <w:pStyle w:val="2"/>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无组织废气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jc w:val="center"/>
                    <w:rPr>
                      <w:rFonts w:hint="default" w:ascii="Times New Roman" w:hAnsi="Times New Roman" w:cs="Times New Roman" w:eastAsiaTheme="minorEastAsia"/>
                      <w:sz w:val="21"/>
                      <w:szCs w:val="21"/>
                      <w:lang w:val="en-US" w:eastAsia="zh-CN"/>
                    </w:rPr>
                  </w:pPr>
                </w:p>
              </w:tc>
              <w:tc>
                <w:tcPr>
                  <w:tcW w:w="1518" w:type="pct"/>
                  <w:tcBorders>
                    <w:tl2br w:val="nil"/>
                    <w:tr2bl w:val="nil"/>
                  </w:tcBorders>
                  <w:vAlign w:val="center"/>
                </w:tcPr>
                <w:p>
                  <w:pPr>
                    <w:pStyle w:val="2"/>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《饮食业油烟排放标准（试行）》(1318483-2001）标准</w:t>
                  </w:r>
                </w:p>
              </w:tc>
              <w:tc>
                <w:tcPr>
                  <w:tcW w:w="756" w:type="pct"/>
                  <w:tcBorders>
                    <w:tl2br w:val="nil"/>
                    <w:tr2bl w:val="nil"/>
                  </w:tcBorders>
                  <w:vAlign w:val="center"/>
                </w:tcPr>
                <w:p>
                  <w:pPr>
                    <w:pStyle w:val="2"/>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表2小型</w:t>
                  </w:r>
                </w:p>
              </w:tc>
              <w:tc>
                <w:tcPr>
                  <w:tcW w:w="733"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油烟</w:t>
                  </w:r>
                </w:p>
              </w:tc>
              <w:tc>
                <w:tcPr>
                  <w:tcW w:w="83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w:t>
                  </w:r>
                  <w:r>
                    <w:rPr>
                      <w:rFonts w:hint="default" w:ascii="Times New Roman" w:hAnsi="Times New Roman" w:cs="Times New Roman" w:eastAsiaTheme="minorEastAsia"/>
                      <w:color w:val="auto"/>
                      <w:kern w:val="0"/>
                      <w:sz w:val="21"/>
                      <w:szCs w:val="21"/>
                    </w:rPr>
                    <w:t>mg/m</w:t>
                  </w:r>
                  <w:r>
                    <w:rPr>
                      <w:rFonts w:hint="default" w:ascii="Times New Roman" w:hAnsi="Times New Roman" w:cs="Times New Roman" w:eastAsiaTheme="minorEastAsia"/>
                      <w:color w:val="auto"/>
                      <w:kern w:val="0"/>
                      <w:sz w:val="21"/>
                      <w:szCs w:val="21"/>
                      <w:vertAlign w:val="superscript"/>
                    </w:rPr>
                    <w:t>3</w:t>
                  </w:r>
                </w:p>
              </w:tc>
              <w:tc>
                <w:tcPr>
                  <w:tcW w:w="674" w:type="pct"/>
                  <w:tcBorders>
                    <w:tl2br w:val="nil"/>
                    <w:tr2bl w:val="nil"/>
                  </w:tcBorders>
                  <w:vAlign w:val="center"/>
                </w:tcPr>
                <w:p>
                  <w:pPr>
                    <w:pStyle w:val="2"/>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食堂油烟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废水</w:t>
                  </w:r>
                </w:p>
              </w:tc>
              <w:tc>
                <w:tcPr>
                  <w:tcW w:w="1518"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sz w:val="21"/>
                      <w:szCs w:val="21"/>
                      <w:lang w:val="en-US" w:eastAsia="zh-CN"/>
                    </w:rPr>
                    <w:t>《污水综合排放标准》（GB8978-1996）</w:t>
                  </w:r>
                </w:p>
              </w:tc>
              <w:tc>
                <w:tcPr>
                  <w:tcW w:w="756"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sz w:val="21"/>
                      <w:szCs w:val="21"/>
                      <w:lang w:val="en-US" w:eastAsia="zh-CN"/>
                    </w:rPr>
                    <w:t>表3</w:t>
                  </w:r>
                  <w:r>
                    <w:rPr>
                      <w:rFonts w:hint="default" w:ascii="Times New Roman" w:hAnsi="Times New Roman" w:cs="Times New Roman" w:eastAsiaTheme="minorEastAsia"/>
                      <w:sz w:val="21"/>
                      <w:szCs w:val="21"/>
                      <w:lang w:val="en-US" w:eastAsia="zh-CN"/>
                    </w:rPr>
                    <w:t>三级标准</w:t>
                  </w: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pH</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6~9</w:t>
                  </w:r>
                </w:p>
              </w:tc>
              <w:tc>
                <w:tcPr>
                  <w:tcW w:w="674" w:type="pct"/>
                  <w:vMerge w:val="restar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废水总排口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COD</w:t>
                  </w:r>
                  <w:r>
                    <w:rPr>
                      <w:rFonts w:hint="default" w:ascii="Times New Roman" w:hAnsi="Times New Roman" w:cs="Times New Roman" w:eastAsiaTheme="minorEastAsia"/>
                      <w:color w:val="auto"/>
                      <w:sz w:val="21"/>
                      <w:szCs w:val="21"/>
                      <w:vertAlign w:val="subscript"/>
                      <w:lang w:eastAsia="zh-CN"/>
                    </w:rPr>
                    <w:t>Cr</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sz w:val="21"/>
                      <w:szCs w:val="21"/>
                      <w:lang w:val="en-US" w:eastAsia="zh-CN"/>
                    </w:rPr>
                    <w:t>500</w:t>
                  </w:r>
                  <w:r>
                    <w:rPr>
                      <w:rFonts w:hint="default" w:ascii="Times New Roman" w:hAnsi="Times New Roman" w:cs="Times New Roman" w:eastAsiaTheme="minorEastAsia"/>
                      <w:color w:val="auto"/>
                      <w:sz w:val="21"/>
                      <w:szCs w:val="21"/>
                      <w:lang w:eastAsia="zh-CN"/>
                    </w:rPr>
                    <w:t>mg/L</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sz w:val="21"/>
                      <w:szCs w:val="21"/>
                      <w:lang w:val="en-US" w:eastAsia="zh-CN"/>
                    </w:rPr>
                    <w:t>300</w:t>
                  </w:r>
                  <w:r>
                    <w:rPr>
                      <w:rFonts w:hint="default" w:ascii="Times New Roman" w:hAnsi="Times New Roman" w:cs="Times New Roman" w:eastAsiaTheme="minorEastAsia"/>
                      <w:color w:val="auto"/>
                      <w:sz w:val="21"/>
                      <w:szCs w:val="21"/>
                      <w:lang w:eastAsia="zh-CN"/>
                    </w:rPr>
                    <w:t>mg/L</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悬浮物</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sz w:val="21"/>
                      <w:szCs w:val="21"/>
                      <w:lang w:val="en-US" w:eastAsia="zh-CN"/>
                    </w:rPr>
                    <w:t>400</w:t>
                  </w:r>
                  <w:r>
                    <w:rPr>
                      <w:rFonts w:hint="default" w:ascii="Times New Roman" w:hAnsi="Times New Roman" w:cs="Times New Roman" w:eastAsiaTheme="minorEastAsia"/>
                      <w:color w:val="auto"/>
                      <w:sz w:val="21"/>
                      <w:szCs w:val="21"/>
                      <w:lang w:eastAsia="zh-CN"/>
                    </w:rPr>
                    <w:t>mg/L</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56"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eastAsia="zh-CN"/>
                    </w:rPr>
                    <w:t>石油类</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eastAsia="zh-CN"/>
                    </w:rPr>
                    <w:t>mg/L</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c>
                <w:tcPr>
                  <w:tcW w:w="151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eastAsia" w:cs="Times New Roman" w:eastAsiaTheme="minorEastAsia"/>
                      <w:color w:val="auto"/>
                      <w:sz w:val="21"/>
                      <w:szCs w:val="21"/>
                      <w:vertAlign w:val="baseline"/>
                      <w:lang w:val="en-US" w:eastAsia="zh-CN"/>
                    </w:rPr>
                    <w:t>参考《</w:t>
                  </w:r>
                  <w:r>
                    <w:rPr>
                      <w:rFonts w:hint="default" w:ascii="Times New Roman" w:hAnsi="Times New Roman" w:cs="Times New Roman" w:eastAsiaTheme="minorEastAsia"/>
                      <w:color w:val="auto"/>
                      <w:sz w:val="21"/>
                      <w:szCs w:val="21"/>
                      <w:vertAlign w:val="baseline"/>
                      <w:lang w:val="en-US" w:eastAsia="zh-CN"/>
                    </w:rPr>
                    <w:t>污水排入城</w:t>
                  </w:r>
                  <w:r>
                    <w:rPr>
                      <w:rFonts w:hint="eastAsia" w:cs="Times New Roman" w:eastAsiaTheme="minorEastAsia"/>
                      <w:color w:val="auto"/>
                      <w:sz w:val="21"/>
                      <w:szCs w:val="21"/>
                      <w:vertAlign w:val="baseline"/>
                      <w:lang w:val="en-US" w:eastAsia="zh-CN"/>
                    </w:rPr>
                    <w:t>镇</w:t>
                  </w:r>
                  <w:r>
                    <w:rPr>
                      <w:rFonts w:hint="default" w:ascii="Times New Roman" w:hAnsi="Times New Roman" w:cs="Times New Roman" w:eastAsiaTheme="minorEastAsia"/>
                      <w:color w:val="auto"/>
                      <w:sz w:val="21"/>
                      <w:szCs w:val="21"/>
                      <w:vertAlign w:val="baseline"/>
                      <w:lang w:val="en-US" w:eastAsia="zh-CN"/>
                    </w:rPr>
                    <w:t>下水道水质标准》（</w:t>
                  </w:r>
                  <w:r>
                    <w:rPr>
                      <w:rFonts w:hint="eastAsia" w:cs="Times New Roman" w:eastAsiaTheme="minorEastAsia"/>
                      <w:color w:val="auto"/>
                      <w:sz w:val="21"/>
                      <w:szCs w:val="21"/>
                      <w:vertAlign w:val="baseline"/>
                      <w:lang w:val="en-US" w:eastAsia="zh-CN"/>
                    </w:rPr>
                    <w:t>GB/T31962</w:t>
                  </w:r>
                  <w:r>
                    <w:rPr>
                      <w:rFonts w:hint="default" w:ascii="Times New Roman" w:hAnsi="Times New Roman" w:cs="Times New Roman" w:eastAsiaTheme="minorEastAsia"/>
                      <w:color w:val="auto"/>
                      <w:sz w:val="21"/>
                      <w:szCs w:val="21"/>
                      <w:vertAlign w:val="baseline"/>
                      <w:lang w:val="en-US" w:eastAsia="zh-CN"/>
                    </w:rPr>
                    <w:t>-</w:t>
                  </w:r>
                  <w:r>
                    <w:rPr>
                      <w:rFonts w:hint="eastAsia" w:cs="Times New Roman" w:eastAsiaTheme="minorEastAsia"/>
                      <w:color w:val="auto"/>
                      <w:sz w:val="21"/>
                      <w:szCs w:val="21"/>
                      <w:vertAlign w:val="baseline"/>
                      <w:lang w:val="en-US" w:eastAsia="zh-CN"/>
                    </w:rPr>
                    <w:t>2015</w:t>
                  </w:r>
                  <w:r>
                    <w:rPr>
                      <w:rFonts w:hint="default" w:ascii="Times New Roman" w:hAnsi="Times New Roman" w:cs="Times New Roman" w:eastAsiaTheme="minorEastAsia"/>
                      <w:color w:val="auto"/>
                      <w:sz w:val="21"/>
                      <w:szCs w:val="21"/>
                      <w:vertAlign w:val="baseline"/>
                      <w:lang w:val="en-US" w:eastAsia="zh-CN"/>
                    </w:rPr>
                    <w:t>）</w:t>
                  </w:r>
                </w:p>
              </w:tc>
              <w:tc>
                <w:tcPr>
                  <w:tcW w:w="756"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val="en-US" w:eastAsia="zh-CN"/>
                    </w:rPr>
                    <w:t>表1</w:t>
                  </w:r>
                  <w:r>
                    <w:rPr>
                      <w:rFonts w:hint="eastAsia" w:cs="Times New Roman" w:eastAsiaTheme="minorEastAsia"/>
                      <w:color w:val="auto"/>
                      <w:sz w:val="21"/>
                      <w:szCs w:val="21"/>
                      <w:vertAlign w:val="baseline"/>
                      <w:lang w:val="en-US" w:eastAsia="zh-CN"/>
                    </w:rPr>
                    <w:t>中B级</w:t>
                  </w:r>
                  <w:r>
                    <w:rPr>
                      <w:rFonts w:hint="default" w:ascii="Times New Roman" w:hAnsi="Times New Roman" w:cs="Times New Roman" w:eastAsiaTheme="minorEastAsia"/>
                      <w:color w:val="auto"/>
                      <w:sz w:val="21"/>
                      <w:szCs w:val="21"/>
                      <w:vertAlign w:val="baseline"/>
                      <w:lang w:val="en-US" w:eastAsia="zh-CN"/>
                    </w:rPr>
                    <w:t>标准</w:t>
                  </w: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氨氮</w:t>
                  </w:r>
                </w:p>
              </w:tc>
              <w:tc>
                <w:tcPr>
                  <w:tcW w:w="83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45</w:t>
                  </w:r>
                  <w:r>
                    <w:rPr>
                      <w:rFonts w:hint="default" w:ascii="Times New Roman" w:hAnsi="Times New Roman" w:cs="Times New Roman" w:eastAsiaTheme="minorEastAsia"/>
                      <w:color w:val="auto"/>
                      <w:sz w:val="21"/>
                      <w:szCs w:val="21"/>
                      <w:lang w:eastAsia="zh-CN"/>
                    </w:rPr>
                    <w:t>mg/L</w:t>
                  </w:r>
                </w:p>
              </w:tc>
              <w:tc>
                <w:tcPr>
                  <w:tcW w:w="674" w:type="pct"/>
                  <w:vMerge w:val="continue"/>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9"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噪声</w:t>
                  </w:r>
                </w:p>
              </w:tc>
              <w:tc>
                <w:tcPr>
                  <w:tcW w:w="1518"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lang w:eastAsia="zh-CN"/>
                    </w:rPr>
                    <w:t>《工业企业厂界环境噪声排放标准》（GB 12348-2008）</w:t>
                  </w:r>
                </w:p>
              </w:tc>
              <w:tc>
                <w:tcPr>
                  <w:tcW w:w="756"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val="en-US" w:eastAsia="zh-CN"/>
                    </w:rPr>
                    <w:t>3</w:t>
                  </w:r>
                  <w:r>
                    <w:rPr>
                      <w:rFonts w:hint="default" w:ascii="Times New Roman" w:hAnsi="Times New Roman" w:cs="Times New Roman" w:eastAsiaTheme="minorEastAsia"/>
                      <w:color w:val="auto"/>
                      <w:sz w:val="21"/>
                      <w:szCs w:val="21"/>
                      <w:vertAlign w:val="baseline"/>
                      <w:lang w:eastAsia="zh-CN"/>
                    </w:rPr>
                    <w:t>类标准</w:t>
                  </w:r>
                </w:p>
              </w:tc>
              <w:tc>
                <w:tcPr>
                  <w:tcW w:w="73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等效声级</w:t>
                  </w:r>
                </w:p>
              </w:tc>
              <w:tc>
                <w:tcPr>
                  <w:tcW w:w="838"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 xml:space="preserve">昼间 </w:t>
                  </w:r>
                  <w:r>
                    <w:rPr>
                      <w:rFonts w:hint="eastAsia" w:ascii="Times New Roman" w:hAnsi="Times New Roman" w:cs="Times New Roman" w:eastAsiaTheme="minorEastAsia"/>
                      <w:color w:val="auto"/>
                      <w:sz w:val="21"/>
                      <w:szCs w:val="21"/>
                      <w:lang w:val="en-US" w:eastAsia="zh-CN"/>
                    </w:rPr>
                    <w:t>65</w:t>
                  </w:r>
                  <w:r>
                    <w:rPr>
                      <w:rFonts w:hint="default" w:ascii="Times New Roman" w:hAnsi="Times New Roman" w:cs="Times New Roman" w:eastAsiaTheme="minorEastAsia"/>
                      <w:color w:val="auto"/>
                      <w:sz w:val="21"/>
                      <w:szCs w:val="21"/>
                    </w:rPr>
                    <w:t>dB(A)</w:t>
                  </w:r>
                </w:p>
                <w:p>
                  <w:pPr>
                    <w:pStyle w:val="2"/>
                    <w:numPr>
                      <w:ilvl w:val="0"/>
                      <w:numId w:val="0"/>
                    </w:numPr>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 xml:space="preserve">夜间 </w:t>
                  </w:r>
                  <w:r>
                    <w:rPr>
                      <w:rFonts w:hint="eastAsia" w:ascii="Times New Roman" w:hAnsi="Times New Roman" w:cs="Times New Roman" w:eastAsiaTheme="minorEastAsia"/>
                      <w:color w:val="auto"/>
                      <w:sz w:val="21"/>
                      <w:szCs w:val="21"/>
                      <w:lang w:val="en-US" w:eastAsia="zh-CN"/>
                    </w:rPr>
                    <w:t>55</w:t>
                  </w:r>
                  <w:r>
                    <w:rPr>
                      <w:rFonts w:hint="default" w:ascii="Times New Roman" w:hAnsi="Times New Roman" w:cs="Times New Roman" w:eastAsiaTheme="minorEastAsia"/>
                      <w:color w:val="auto"/>
                      <w:sz w:val="21"/>
                      <w:szCs w:val="21"/>
                    </w:rPr>
                    <w:t>dB(A)</w:t>
                  </w:r>
                </w:p>
              </w:tc>
              <w:tc>
                <w:tcPr>
                  <w:tcW w:w="674" w:type="pct"/>
                  <w:tcBorders>
                    <w:tl2br w:val="nil"/>
                    <w:tr2bl w:val="nil"/>
                  </w:tcBorders>
                  <w:vAlign w:val="center"/>
                </w:tcPr>
                <w:p>
                  <w:pPr>
                    <w:pStyle w:val="2"/>
                    <w:numPr>
                      <w:ilvl w:val="0"/>
                      <w:numId w:val="0"/>
                    </w:numPr>
                    <w:jc w:val="center"/>
                    <w:rPr>
                      <w:rFonts w:hint="default" w:ascii="Times New Roman" w:hAnsi="Times New Roman" w:cs="Times New Roman" w:eastAsiaTheme="minorEastAsia"/>
                      <w:color w:val="auto"/>
                      <w:sz w:val="21"/>
                      <w:szCs w:val="21"/>
                      <w:vertAlign w:val="baseline"/>
                      <w:lang w:eastAsia="zh-CN"/>
                    </w:rPr>
                  </w:pPr>
                  <w:r>
                    <w:rPr>
                      <w:rFonts w:hint="default" w:ascii="Times New Roman" w:hAnsi="Times New Roman" w:cs="Times New Roman" w:eastAsiaTheme="minorEastAsia"/>
                      <w:color w:val="auto"/>
                      <w:sz w:val="21"/>
                      <w:szCs w:val="21"/>
                      <w:vertAlign w:val="baseline"/>
                      <w:lang w:eastAsia="zh-CN"/>
                    </w:rPr>
                    <w:t>厂界噪声</w:t>
                  </w:r>
                </w:p>
              </w:tc>
            </w:tr>
          </w:tbl>
          <w:p>
            <w:pPr>
              <w:pStyle w:val="5"/>
              <w:keepNext w:val="0"/>
              <w:keepLines w:val="0"/>
              <w:pageBreakBefore w:val="0"/>
              <w:widowControl w:val="0"/>
              <w:kinsoku/>
              <w:wordWrap/>
              <w:overflowPunct/>
              <w:topLinePunct w:val="0"/>
              <w:bidi w:val="0"/>
              <w:adjustRightInd/>
              <w:snapToGrid/>
              <w:spacing w:line="240" w:lineRule="auto"/>
              <w:ind w:right="277"/>
              <w:jc w:val="left"/>
              <w:textAlignment w:val="auto"/>
              <w:rPr>
                <w:rFonts w:hint="default" w:ascii="Times New Roman" w:hAnsi="Times New Roman" w:eastAsia="宋体" w:cs="Times New Roman"/>
                <w:color w:val="auto"/>
                <w:lang w:eastAsia="zh-CN"/>
              </w:rPr>
            </w:pPr>
            <w:r>
              <w:rPr>
                <w:rFonts w:hint="eastAsia" w:ascii="Times New Roman" w:hAnsi="Times New Roman" w:cs="Times New Roman"/>
                <w:b/>
                <w:color w:val="auto"/>
                <w:sz w:val="24"/>
                <w:szCs w:val="24"/>
                <w:lang w:val="en-US" w:eastAsia="zh-CN"/>
              </w:rPr>
              <w:t xml:space="preserve"> </w:t>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r>
              <w:rPr>
                <w:rFonts w:hint="eastAsia" w:ascii="Times New Roman" w:hAnsi="Times New Roman" w:cs="Times New Roman"/>
                <w:b/>
                <w:color w:val="auto"/>
                <w:sz w:val="24"/>
                <w:szCs w:val="24"/>
                <w:lang w:val="en-US" w:eastAsia="zh-CN"/>
              </w:rPr>
              <w:br w:type="textWrapping"/>
            </w:r>
          </w:p>
        </w:tc>
      </w:tr>
    </w:tbl>
    <w:p>
      <w:pPr>
        <w:contextualSpacing/>
        <w:rPr>
          <w:rFonts w:hint="default" w:ascii="Times New Roman" w:hAnsi="Times New Roman" w:eastAsia="宋体" w:cs="Times New Roman"/>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表二</w:t>
      </w:r>
    </w:p>
    <w:tbl>
      <w:tblPr>
        <w:tblStyle w:val="18"/>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0" w:hRule="atLeast"/>
          <w:jc w:val="center"/>
        </w:trPr>
        <w:tc>
          <w:tcPr>
            <w:tcW w:w="5000" w:type="pct"/>
          </w:tcPr>
          <w:p>
            <w:pPr>
              <w:spacing w:line="360" w:lineRule="auto"/>
              <w:rPr>
                <w:rFonts w:hint="default" w:ascii="Times New Roman" w:hAnsi="Times New Roman" w:eastAsia="宋体" w:cs="Times New Roman"/>
                <w:b/>
                <w:bCs/>
                <w:sz w:val="28"/>
                <w:szCs w:val="28"/>
                <w:lang w:eastAsia="zh-CN"/>
              </w:rPr>
            </w:pPr>
            <w:r>
              <w:rPr>
                <w:rFonts w:hint="eastAsia" w:ascii="Times New Roman" w:hAnsi="Times New Roman" w:cs="Times New Roman"/>
                <w:b/>
                <w:bCs/>
                <w:sz w:val="28"/>
                <w:szCs w:val="28"/>
                <w:lang w:val="en-US" w:eastAsia="zh-CN"/>
              </w:rPr>
              <w:t>工程建设内容</w:t>
            </w:r>
            <w:r>
              <w:rPr>
                <w:rFonts w:hint="default" w:ascii="Times New Roman" w:hAnsi="Times New Roman" w:eastAsia="宋体" w:cs="Times New Roman"/>
                <w:b/>
                <w:bCs/>
                <w:sz w:val="28"/>
                <w:szCs w:val="28"/>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both"/>
              <w:textAlignment w:val="auto"/>
              <w:rPr>
                <w:rFonts w:hint="eastAsia"/>
                <w:sz w:val="28"/>
                <w:szCs w:val="28"/>
                <w:lang w:val="en-US" w:eastAsia="zh-CN"/>
              </w:rPr>
            </w:pPr>
            <w:r>
              <w:rPr>
                <w:rFonts w:hint="default"/>
                <w:sz w:val="28"/>
                <w:szCs w:val="28"/>
                <w:lang w:eastAsia="zh-CN"/>
              </w:rPr>
              <w:t>为更好的谋求企业发展。抓住城</w:t>
            </w:r>
            <w:r>
              <w:rPr>
                <w:rFonts w:hint="eastAsia"/>
                <w:sz w:val="28"/>
                <w:szCs w:val="28"/>
                <w:lang w:val="en-US" w:eastAsia="zh-CN"/>
              </w:rPr>
              <w:t>城陵矶</w:t>
            </w:r>
            <w:r>
              <w:rPr>
                <w:rFonts w:hint="default"/>
                <w:sz w:val="28"/>
                <w:szCs w:val="28"/>
                <w:lang w:eastAsia="zh-CN"/>
              </w:rPr>
              <w:t>新港区、临进产业新区</w:t>
            </w:r>
            <w:r>
              <w:rPr>
                <w:rFonts w:hint="eastAsia"/>
                <w:sz w:val="28"/>
                <w:szCs w:val="28"/>
                <w:lang w:val="en-US" w:eastAsia="zh-CN"/>
              </w:rPr>
              <w:t>建设</w:t>
            </w:r>
            <w:r>
              <w:rPr>
                <w:rFonts w:hint="default"/>
                <w:sz w:val="28"/>
                <w:szCs w:val="28"/>
                <w:lang w:eastAsia="zh-CN"/>
              </w:rPr>
              <w:t>的有利时机，在交通主</w:t>
            </w:r>
            <w:r>
              <w:rPr>
                <w:rFonts w:hint="eastAsia"/>
                <w:sz w:val="28"/>
                <w:szCs w:val="28"/>
                <w:lang w:val="en-US" w:eastAsia="zh-CN"/>
              </w:rPr>
              <w:t>干道旁、各产业园区的中心地带县级现代物流中转基地，形成辐射当地区域性物流园是云溪物流园是云溪区发展机遇，实现企业的资源共享、优势互补，使企业适应市场发展的要求。</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both"/>
              <w:textAlignment w:val="auto"/>
              <w:rPr>
                <w:rFonts w:hint="default"/>
                <w:sz w:val="28"/>
                <w:szCs w:val="28"/>
                <w:lang w:val="en-US" w:eastAsia="zh-CN"/>
              </w:rPr>
            </w:pPr>
            <w:r>
              <w:rPr>
                <w:rFonts w:hint="eastAsia"/>
                <w:sz w:val="28"/>
                <w:szCs w:val="28"/>
                <w:lang w:val="en-US" w:eastAsia="zh-CN"/>
              </w:rPr>
              <w:t>2013年岳阳云港化工物流有限公司投资8000万元在云溪区</w:t>
            </w:r>
            <w:r>
              <w:rPr>
                <w:rFonts w:hint="eastAsia" w:cs="Times New Roman"/>
                <w:kern w:val="2"/>
                <w:sz w:val="28"/>
                <w:szCs w:val="28"/>
                <w:lang w:val="en-US" w:eastAsia="zh-CN" w:bidi="ar"/>
              </w:rPr>
              <w:t>通港路（现</w:t>
            </w:r>
            <w:r>
              <w:rPr>
                <w:rFonts w:hint="eastAsia" w:ascii="Times New Roman" w:hAnsi="Times New Roman" w:cs="Times New Roman"/>
                <w:kern w:val="2"/>
                <w:sz w:val="28"/>
                <w:szCs w:val="28"/>
                <w:lang w:val="en-US" w:eastAsia="zh-CN" w:bidi="ar"/>
              </w:rPr>
              <w:t>云港路</w:t>
            </w:r>
            <w:r>
              <w:rPr>
                <w:rFonts w:hint="eastAsia" w:cs="Times New Roman"/>
                <w:kern w:val="2"/>
                <w:sz w:val="28"/>
                <w:szCs w:val="28"/>
                <w:lang w:val="en-US" w:eastAsia="zh-CN" w:bidi="ar"/>
              </w:rPr>
              <w:t>）</w:t>
            </w:r>
            <w:r>
              <w:rPr>
                <w:rFonts w:hint="eastAsia" w:ascii="Times New Roman" w:hAnsi="Times New Roman" w:cs="Times New Roman"/>
                <w:kern w:val="2"/>
                <w:sz w:val="28"/>
                <w:szCs w:val="28"/>
                <w:lang w:val="en-US" w:eastAsia="zh-CN" w:bidi="ar"/>
              </w:rPr>
              <w:t>与</w:t>
            </w:r>
            <w:r>
              <w:rPr>
                <w:rFonts w:hint="eastAsia" w:cs="Times New Roman"/>
                <w:kern w:val="2"/>
                <w:sz w:val="28"/>
                <w:szCs w:val="28"/>
                <w:lang w:val="en-US" w:eastAsia="zh-CN" w:bidi="ar"/>
              </w:rPr>
              <w:t>随岳高速（现</w:t>
            </w:r>
            <w:r>
              <w:rPr>
                <w:rFonts w:hint="eastAsia" w:ascii="Times New Roman" w:hAnsi="Times New Roman" w:cs="Times New Roman"/>
                <w:kern w:val="2"/>
                <w:sz w:val="28"/>
                <w:szCs w:val="28"/>
                <w:lang w:val="en-US" w:eastAsia="zh-CN" w:bidi="ar"/>
              </w:rPr>
              <w:t>许广高速公路</w:t>
            </w:r>
            <w:r>
              <w:rPr>
                <w:rFonts w:hint="eastAsia" w:cs="Times New Roman"/>
                <w:kern w:val="2"/>
                <w:sz w:val="28"/>
                <w:szCs w:val="28"/>
                <w:lang w:val="en-US" w:eastAsia="zh-CN" w:bidi="ar"/>
              </w:rPr>
              <w:t>）交汇处东北侧</w:t>
            </w:r>
            <w:r>
              <w:rPr>
                <w:rFonts w:hint="default"/>
                <w:sz w:val="28"/>
                <w:szCs w:val="28"/>
                <w:lang w:eastAsia="zh-CN"/>
              </w:rPr>
              <w:t>公路交汇处东北侧建设一个集运输、仓储、装卸、配</w:t>
            </w:r>
            <w:r>
              <w:rPr>
                <w:rFonts w:hint="eastAsia"/>
                <w:sz w:val="28"/>
                <w:szCs w:val="28"/>
                <w:lang w:val="en-US" w:eastAsia="zh-CN"/>
              </w:rPr>
              <w:t>送</w:t>
            </w:r>
            <w:r>
              <w:rPr>
                <w:rFonts w:hint="eastAsia"/>
                <w:sz w:val="28"/>
                <w:szCs w:val="28"/>
                <w:lang w:eastAsia="zh-CN"/>
              </w:rPr>
              <w:t>、</w:t>
            </w:r>
            <w:r>
              <w:rPr>
                <w:rFonts w:hint="default"/>
                <w:sz w:val="28"/>
                <w:szCs w:val="28"/>
                <w:lang w:eastAsia="zh-CN"/>
              </w:rPr>
              <w:t>汽修、</w:t>
            </w:r>
            <w:r>
              <w:rPr>
                <w:rFonts w:hint="eastAsia"/>
                <w:sz w:val="28"/>
                <w:szCs w:val="28"/>
                <w:lang w:val="en-US" w:eastAsia="zh-CN"/>
              </w:rPr>
              <w:t>危货槽</w:t>
            </w:r>
            <w:r>
              <w:rPr>
                <w:rFonts w:hint="default"/>
                <w:sz w:val="28"/>
                <w:szCs w:val="28"/>
                <w:lang w:eastAsia="zh-CN"/>
              </w:rPr>
              <w:t>罐车清</w:t>
            </w:r>
            <w:r>
              <w:rPr>
                <w:rFonts w:hint="eastAsia"/>
                <w:sz w:val="28"/>
                <w:szCs w:val="28"/>
                <w:lang w:val="en-US" w:eastAsia="zh-CN"/>
              </w:rPr>
              <w:t>洗、</w:t>
            </w:r>
            <w:r>
              <w:rPr>
                <w:rFonts w:hint="default"/>
                <w:sz w:val="28"/>
                <w:szCs w:val="28"/>
                <w:lang w:eastAsia="zh-CN"/>
              </w:rPr>
              <w:t>信息服务等</w:t>
            </w:r>
            <w:r>
              <w:rPr>
                <w:rFonts w:hint="eastAsia"/>
                <w:sz w:val="28"/>
                <w:szCs w:val="28"/>
                <w:lang w:val="en-US" w:eastAsia="zh-CN"/>
              </w:rPr>
              <w:t>方面功能于一体的货运物流中心。</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项目主要建设内容情况见下表。</w:t>
            </w:r>
          </w:p>
          <w:p>
            <w:pPr>
              <w:pStyle w:val="5"/>
              <w:spacing w:before="8" w:line="220" w:lineRule="auto"/>
              <w:ind w:right="157" w:firstLine="41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b/>
                <w:bCs/>
                <w:spacing w:val="-3"/>
                <w:sz w:val="24"/>
                <w:szCs w:val="24"/>
                <w:lang w:eastAsia="zh-CN"/>
              </w:rPr>
              <w:t>表</w:t>
            </w:r>
            <w:r>
              <w:rPr>
                <w:rFonts w:hint="eastAsia" w:ascii="Times New Roman" w:hAnsi="Times New Roman" w:cs="Times New Roman"/>
                <w:b/>
                <w:bCs/>
                <w:spacing w:val="-3"/>
                <w:sz w:val="24"/>
                <w:szCs w:val="24"/>
                <w:lang w:val="en-US" w:eastAsia="zh-CN"/>
              </w:rPr>
              <w:t>2</w:t>
            </w:r>
            <w:r>
              <w:rPr>
                <w:rFonts w:hint="default" w:ascii="Times New Roman" w:hAnsi="Times New Roman" w:eastAsia="宋体" w:cs="Times New Roman"/>
                <w:b/>
                <w:bCs/>
                <w:spacing w:val="-3"/>
                <w:sz w:val="24"/>
                <w:szCs w:val="24"/>
                <w:lang w:eastAsia="zh-CN"/>
              </w:rPr>
              <w:t xml:space="preserve"> </w:t>
            </w:r>
            <w:r>
              <w:rPr>
                <w:rFonts w:hint="eastAsia" w:ascii="Times New Roman" w:hAnsi="Times New Roman" w:cs="Times New Roman"/>
                <w:b/>
                <w:bCs/>
                <w:spacing w:val="-3"/>
                <w:sz w:val="24"/>
                <w:szCs w:val="24"/>
                <w:lang w:val="en-US" w:eastAsia="zh-CN"/>
              </w:rPr>
              <w:t>主要建设内容一览表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1280"/>
              <w:gridCol w:w="2426"/>
              <w:gridCol w:w="2434"/>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类别</w:t>
                  </w:r>
                </w:p>
              </w:tc>
              <w:tc>
                <w:tcPr>
                  <w:tcW w:w="1954" w:type="pct"/>
                  <w:gridSpan w:val="2"/>
                  <w:tcBorders>
                    <w:tl2br w:val="nil"/>
                    <w:tr2bl w:val="nil"/>
                  </w:tcBorders>
                  <w:vAlign w:val="center"/>
                </w:tcPr>
                <w:p>
                  <w:pPr>
                    <w:pStyle w:val="5"/>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环评建设内容</w:t>
                  </w:r>
                </w:p>
              </w:tc>
              <w:tc>
                <w:tcPr>
                  <w:tcW w:w="128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实际建设内容</w:t>
                  </w:r>
                </w:p>
              </w:tc>
              <w:tc>
                <w:tcPr>
                  <w:tcW w:w="76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主体工程</w:t>
                  </w:r>
                </w:p>
              </w:tc>
              <w:tc>
                <w:tcPr>
                  <w:tcW w:w="675"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物流信息大楼</w:t>
                  </w:r>
                </w:p>
              </w:tc>
              <w:tc>
                <w:tcPr>
                  <w:tcW w:w="1279"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信息大厅，800m</w:t>
                  </w:r>
                  <w:r>
                    <w:rPr>
                      <w:rFonts w:hint="eastAsia" w:ascii="Times New Roman" w:hAnsi="Times New Roman" w:cs="Times New Roman"/>
                      <w:sz w:val="21"/>
                      <w:szCs w:val="21"/>
                      <w:vertAlign w:val="superscript"/>
                      <w:lang w:val="en-US" w:eastAsia="zh-CN"/>
                    </w:rPr>
                    <w:t>2</w:t>
                  </w:r>
                </w:p>
              </w:tc>
              <w:tc>
                <w:tcPr>
                  <w:tcW w:w="128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cs="Times New Roman"/>
                      <w:sz w:val="21"/>
                      <w:szCs w:val="21"/>
                      <w:vertAlign w:val="baseline"/>
                      <w:lang w:val="en-US" w:eastAsia="zh-CN"/>
                    </w:rPr>
                    <w:t>信息大厅，800m</w:t>
                  </w:r>
                  <w:r>
                    <w:rPr>
                      <w:rFonts w:hint="eastAsia" w:ascii="Times New Roman" w:hAnsi="Times New Roman" w:cs="Times New Roman"/>
                      <w:sz w:val="21"/>
                      <w:szCs w:val="21"/>
                      <w:vertAlign w:val="superscript"/>
                      <w:lang w:val="en-US" w:eastAsia="zh-CN"/>
                    </w:rPr>
                    <w:t>2</w:t>
                  </w:r>
                </w:p>
              </w:tc>
              <w:tc>
                <w:tcPr>
                  <w:tcW w:w="763" w:type="pct"/>
                  <w:vMerge w:val="restar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279"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办公室，3200m</w:t>
                  </w:r>
                  <w:r>
                    <w:rPr>
                      <w:rFonts w:hint="eastAsia" w:ascii="Times New Roman" w:hAnsi="Times New Roman" w:cs="Times New Roman"/>
                      <w:sz w:val="21"/>
                      <w:szCs w:val="21"/>
                      <w:vertAlign w:val="superscript"/>
                      <w:lang w:val="en-US" w:eastAsia="zh-CN"/>
                    </w:rPr>
                    <w:t>2</w:t>
                  </w:r>
                </w:p>
              </w:tc>
              <w:tc>
                <w:tcPr>
                  <w:tcW w:w="128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cs="Times New Roman"/>
                      <w:sz w:val="21"/>
                      <w:szCs w:val="21"/>
                      <w:vertAlign w:val="baseline"/>
                      <w:lang w:val="en-US" w:eastAsia="zh-CN"/>
                    </w:rPr>
                    <w:t>办公室，3200m</w:t>
                  </w:r>
                  <w:r>
                    <w:rPr>
                      <w:rFonts w:hint="eastAsia" w:ascii="Times New Roman" w:hAnsi="Times New Roman" w:cs="Times New Roman"/>
                      <w:sz w:val="21"/>
                      <w:szCs w:val="21"/>
                      <w:vertAlign w:val="superscript"/>
                      <w:lang w:val="en-US" w:eastAsia="zh-CN"/>
                    </w:rPr>
                    <w:t>2</w:t>
                  </w:r>
                </w:p>
              </w:tc>
              <w:tc>
                <w:tcPr>
                  <w:tcW w:w="76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辅助工程</w:t>
                  </w:r>
                </w:p>
              </w:tc>
              <w:tc>
                <w:tcPr>
                  <w:tcW w:w="675"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零担仓库</w:t>
                  </w:r>
                </w:p>
              </w:tc>
              <w:tc>
                <w:tcPr>
                  <w:tcW w:w="1279"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3000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3000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堆场</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b w:val="0"/>
                      <w:bCs w:val="0"/>
                      <w:sz w:val="21"/>
                      <w:szCs w:val="21"/>
                      <w:vertAlign w:val="baseline"/>
                      <w:lang w:val="en-US" w:eastAsia="zh-CN"/>
                    </w:rPr>
                    <w:t>2000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b w:val="0"/>
                      <w:bCs w:val="0"/>
                      <w:sz w:val="21"/>
                      <w:szCs w:val="21"/>
                      <w:vertAlign w:val="baseline"/>
                      <w:lang w:val="en-US" w:eastAsia="zh-CN"/>
                    </w:rPr>
                    <w:t>2000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停车区</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14430m</w:t>
                  </w:r>
                  <w:r>
                    <w:rPr>
                      <w:rFonts w:hint="eastAsia" w:ascii="Times New Roman" w:hAnsi="Times New Roman" w:cs="Times New Roman"/>
                      <w:b w:val="0"/>
                      <w:bCs w:val="0"/>
                      <w:sz w:val="21"/>
                      <w:szCs w:val="21"/>
                      <w:vertAlign w:val="superscript"/>
                      <w:lang w:val="en-US" w:eastAsia="zh-CN"/>
                    </w:rPr>
                    <w:t>2</w:t>
                  </w:r>
                  <w:r>
                    <w:rPr>
                      <w:rFonts w:hint="eastAsia" w:ascii="Times New Roman" w:hAnsi="Times New Roman" w:cs="Times New Roman"/>
                      <w:b w:val="0"/>
                      <w:bCs w:val="0"/>
                      <w:sz w:val="21"/>
                      <w:szCs w:val="21"/>
                      <w:vertAlign w:val="baseline"/>
                      <w:lang w:val="en-US" w:eastAsia="zh-CN"/>
                    </w:rPr>
                    <w:t>（停车位100个）</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14430m</w:t>
                  </w:r>
                  <w:r>
                    <w:rPr>
                      <w:rFonts w:hint="eastAsia" w:ascii="Times New Roman" w:hAnsi="Times New Roman" w:cs="Times New Roman"/>
                      <w:b w:val="0"/>
                      <w:bCs w:val="0"/>
                      <w:sz w:val="21"/>
                      <w:szCs w:val="21"/>
                      <w:vertAlign w:val="superscript"/>
                      <w:lang w:val="en-US" w:eastAsia="zh-CN"/>
                    </w:rPr>
                    <w:t>2</w:t>
                  </w:r>
                  <w:r>
                    <w:rPr>
                      <w:rFonts w:hint="eastAsia" w:ascii="Times New Roman" w:hAnsi="Times New Roman" w:cs="Times New Roman"/>
                      <w:b w:val="0"/>
                      <w:bCs w:val="0"/>
                      <w:sz w:val="21"/>
                      <w:szCs w:val="21"/>
                      <w:vertAlign w:val="baseline"/>
                      <w:lang w:val="en-US" w:eastAsia="zh-CN"/>
                    </w:rPr>
                    <w:t>（停车位100个）</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shd w:val="clear" w:color="auto" w:fill="auto"/>
                      <w:lang w:val="en-US" w:eastAsia="zh-CN" w:bidi="ar-SA"/>
                    </w:rPr>
                  </w:pPr>
                  <w:r>
                    <w:rPr>
                      <w:rFonts w:hint="eastAsia" w:ascii="Times New Roman" w:hAnsi="Times New Roman" w:cs="Times New Roman"/>
                      <w:color w:val="auto"/>
                      <w:kern w:val="0"/>
                      <w:sz w:val="21"/>
                      <w:szCs w:val="21"/>
                      <w:highlight w:val="none"/>
                      <w:u w:val="none"/>
                      <w:shd w:val="clear" w:color="auto" w:fill="auto"/>
                      <w:lang w:val="en-US" w:eastAsia="zh-CN" w:bidi="ar-SA"/>
                    </w:rPr>
                    <w:t>清洗作业区</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shd w:val="clear" w:color="auto" w:fill="auto"/>
                      <w:lang w:val="en-US" w:eastAsia="zh-CN" w:bidi="ar-SA"/>
                    </w:rPr>
                  </w:pPr>
                  <w:r>
                    <w:rPr>
                      <w:rFonts w:hint="eastAsia" w:ascii="Times New Roman" w:hAnsi="Times New Roman" w:cs="Times New Roman"/>
                      <w:color w:val="auto"/>
                      <w:kern w:val="0"/>
                      <w:sz w:val="21"/>
                      <w:szCs w:val="21"/>
                      <w:highlight w:val="none"/>
                      <w:u w:val="none"/>
                      <w:shd w:val="clear" w:color="auto" w:fill="auto"/>
                      <w:lang w:val="en-US" w:eastAsia="zh-CN" w:bidi="ar-SA"/>
                    </w:rPr>
                    <w:t>1000</w:t>
                  </w:r>
                  <w:r>
                    <w:rPr>
                      <w:rFonts w:hint="default" w:ascii="Times New Roman" w:hAnsi="Times New Roman" w:eastAsia="宋体" w:cs="Times New Roman"/>
                      <w:b w:val="0"/>
                      <w:bCs w:val="0"/>
                      <w:color w:val="auto"/>
                      <w:sz w:val="21"/>
                      <w:szCs w:val="21"/>
                      <w:shd w:val="clear" w:color="auto" w:fill="auto"/>
                      <w:vertAlign w:val="baseline"/>
                      <w:lang w:val="en-US" w:eastAsia="zh-CN"/>
                    </w:rPr>
                    <w:t>m</w:t>
                  </w:r>
                  <w:r>
                    <w:rPr>
                      <w:rFonts w:hint="default" w:ascii="Times New Roman" w:hAnsi="Times New Roman" w:eastAsia="宋体" w:cs="Times New Roman"/>
                      <w:b w:val="0"/>
                      <w:bCs w:val="0"/>
                      <w:color w:val="auto"/>
                      <w:sz w:val="21"/>
                      <w:szCs w:val="21"/>
                      <w:shd w:val="clear" w:color="auto" w:fill="auto"/>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shd w:val="clear" w:color="auto" w:fill="auto"/>
                      <w:lang w:val="en-US" w:eastAsia="zh-CN" w:bidi="ar-SA"/>
                    </w:rPr>
                  </w:pPr>
                  <w:r>
                    <w:rPr>
                      <w:rFonts w:hint="eastAsia" w:ascii="Times New Roman" w:hAnsi="Times New Roman" w:cs="Times New Roman"/>
                      <w:color w:val="auto"/>
                      <w:kern w:val="0"/>
                      <w:sz w:val="21"/>
                      <w:szCs w:val="21"/>
                      <w:highlight w:val="none"/>
                      <w:u w:val="none"/>
                      <w:shd w:val="clear" w:color="auto" w:fill="auto"/>
                      <w:lang w:val="en-US" w:eastAsia="zh-CN" w:bidi="ar-SA"/>
                    </w:rPr>
                    <w:t>清洗区1000</w:t>
                  </w:r>
                  <w:r>
                    <w:rPr>
                      <w:rFonts w:hint="default" w:ascii="Times New Roman" w:hAnsi="Times New Roman" w:eastAsia="宋体" w:cs="Times New Roman"/>
                      <w:b w:val="0"/>
                      <w:bCs w:val="0"/>
                      <w:color w:val="auto"/>
                      <w:sz w:val="21"/>
                      <w:szCs w:val="21"/>
                      <w:shd w:val="clear" w:color="auto" w:fill="auto"/>
                      <w:vertAlign w:val="baseline"/>
                      <w:lang w:val="en-US" w:eastAsia="zh-CN"/>
                    </w:rPr>
                    <w:t>m</w:t>
                  </w:r>
                  <w:r>
                    <w:rPr>
                      <w:rFonts w:hint="default" w:ascii="Times New Roman" w:hAnsi="Times New Roman" w:eastAsia="宋体" w:cs="Times New Roman"/>
                      <w:b w:val="0"/>
                      <w:bCs w:val="0"/>
                      <w:color w:val="auto"/>
                      <w:sz w:val="21"/>
                      <w:szCs w:val="21"/>
                      <w:shd w:val="clear" w:color="auto" w:fill="auto"/>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sz w:val="21"/>
                      <w:szCs w:val="21"/>
                      <w:u w:val="single"/>
                      <w:vertAlign w:val="baseline"/>
                      <w:lang w:val="en-US" w:eastAsia="zh-CN"/>
                    </w:rPr>
                    <w:t>已验收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生活配套用房</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食堂、厨房等570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color w:val="auto"/>
                      <w:kern w:val="0"/>
                      <w:sz w:val="21"/>
                      <w:szCs w:val="21"/>
                      <w:highlight w:val="none"/>
                      <w:u w:val="none"/>
                      <w:lang w:val="en-US" w:eastAsia="zh-CN" w:bidi="ar-SA"/>
                    </w:rPr>
                    <w:t>食堂、厨房等570m</w:t>
                  </w:r>
                  <w:r>
                    <w:rPr>
                      <w:rFonts w:hint="eastAsia" w:ascii="Times New Roman" w:hAnsi="Times New Roman" w:cs="Times New Roman"/>
                      <w:color w:val="FF0000"/>
                      <w:kern w:val="0"/>
                      <w:sz w:val="21"/>
                      <w:szCs w:val="21"/>
                      <w:highlight w:val="none"/>
                      <w:u w:val="none"/>
                      <w:vertAlign w:val="superscript"/>
                      <w:lang w:val="en-US" w:eastAsia="zh-CN" w:bidi="ar-SA"/>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restar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辅助用房</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汽修检车车间300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汽修检车车间300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continue"/>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材料库200m</w:t>
                  </w:r>
                  <w:r>
                    <w:rPr>
                      <w:rFonts w:hint="eastAsia" w:ascii="Times New Roman" w:hAnsi="Times New Roman" w:cs="Times New Roman"/>
                      <w:color w:val="auto"/>
                      <w:kern w:val="0"/>
                      <w:sz w:val="21"/>
                      <w:szCs w:val="21"/>
                      <w:highlight w:val="none"/>
                      <w:u w:val="none"/>
                      <w:vertAlign w:val="superscript"/>
                      <w:lang w:val="en-US" w:eastAsia="zh-CN" w:bidi="ar-SA"/>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材料库200m</w:t>
                  </w:r>
                  <w:r>
                    <w:rPr>
                      <w:rFonts w:hint="eastAsia" w:ascii="Times New Roman" w:hAnsi="Times New Roman" w:cs="Times New Roman"/>
                      <w:color w:val="auto"/>
                      <w:kern w:val="0"/>
                      <w:sz w:val="21"/>
                      <w:szCs w:val="21"/>
                      <w:highlight w:val="none"/>
                      <w:u w:val="none"/>
                      <w:vertAlign w:val="superscript"/>
                      <w:lang w:val="en-US" w:eastAsia="zh-CN" w:bidi="ar-SA"/>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continue"/>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配电房100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配电房100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continue"/>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泵房50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泵房50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vMerge w:val="continue"/>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门卫50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kern w:val="0"/>
                      <w:sz w:val="21"/>
                      <w:szCs w:val="21"/>
                      <w:highlight w:val="none"/>
                      <w:u w:val="none"/>
                      <w:lang w:val="en-US" w:eastAsia="zh-CN" w:bidi="ar-SA"/>
                    </w:rPr>
                  </w:pPr>
                  <w:r>
                    <w:rPr>
                      <w:rFonts w:hint="eastAsia" w:ascii="Times New Roman" w:hAnsi="Times New Roman" w:cs="Times New Roman"/>
                      <w:color w:val="auto"/>
                      <w:kern w:val="0"/>
                      <w:sz w:val="21"/>
                      <w:szCs w:val="21"/>
                      <w:highlight w:val="none"/>
                      <w:u w:val="none"/>
                      <w:lang w:val="en-US" w:eastAsia="zh-CN" w:bidi="ar-SA"/>
                    </w:rPr>
                    <w:t>门卫50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公用工程</w:t>
                  </w: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供电</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rPr>
                    <w:t>国家电网供电</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rPr>
                    <w:t>国家电网供电</w:t>
                  </w:r>
                </w:p>
              </w:tc>
              <w:tc>
                <w:tcPr>
                  <w:tcW w:w="763" w:type="pct"/>
                  <w:vMerge w:val="restar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供水</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市政水源</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市政水源</w:t>
                  </w:r>
                </w:p>
              </w:tc>
              <w:tc>
                <w:tcPr>
                  <w:tcW w:w="76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环保工程</w:t>
                  </w: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槽罐车清洗废水</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1500吨/年处理能力</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w:t>
                  </w:r>
                </w:p>
              </w:tc>
              <w:tc>
                <w:tcPr>
                  <w:tcW w:w="76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已验收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280" w:type="dxa"/>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污水处理</w:t>
                  </w:r>
                </w:p>
              </w:tc>
              <w:tc>
                <w:tcPr>
                  <w:tcW w:w="2426" w:type="dxa"/>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化粪池、隔油池</w:t>
                  </w:r>
                </w:p>
              </w:tc>
              <w:tc>
                <w:tcPr>
                  <w:tcW w:w="2434" w:type="dxa"/>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化粪池、隔油池、初期雨水池容积150m</w:t>
                  </w:r>
                  <w:r>
                    <w:rPr>
                      <w:rFonts w:hint="eastAsia" w:ascii="Times New Roman" w:hAnsi="Times New Roman" w:cs="Times New Roman"/>
                      <w:color w:val="auto"/>
                      <w:sz w:val="21"/>
                      <w:szCs w:val="21"/>
                      <w:highlight w:val="none"/>
                      <w:u w:val="none"/>
                      <w:vertAlign w:val="superscript"/>
                      <w:lang w:val="en-US" w:eastAsia="zh-CN"/>
                    </w:rPr>
                    <w:t>3</w:t>
                  </w:r>
                </w:p>
              </w:tc>
              <w:tc>
                <w:tcPr>
                  <w:tcW w:w="1447" w:type="dxa"/>
                  <w:tcBorders>
                    <w:tl2br w:val="nil"/>
                    <w:tr2bl w:val="nil"/>
                  </w:tcBorders>
                  <w:vAlign w:val="center"/>
                </w:tcPr>
                <w:p>
                  <w:pPr>
                    <w:pStyle w:val="5"/>
                    <w:spacing w:before="8" w:line="240" w:lineRule="auto"/>
                    <w:ind w:right="157" w:rightChars="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新增初期雨水池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废气处理</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油烟净化器</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sz w:val="21"/>
                      <w:szCs w:val="21"/>
                      <w:highlight w:val="none"/>
                      <w:u w:val="none"/>
                      <w:lang w:val="en-US" w:eastAsia="zh-CN"/>
                    </w:rPr>
                    <w:t>油烟净化器</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right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噪声处理</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隔声减震、</w:t>
                  </w:r>
                  <w:r>
                    <w:rPr>
                      <w:rFonts w:hint="default" w:ascii="Times New Roman" w:hAnsi="Times New Roman" w:eastAsia="宋体" w:cs="Times New Roman"/>
                      <w:color w:val="auto"/>
                      <w:sz w:val="21"/>
                      <w:szCs w:val="21"/>
                      <w:highlight w:val="none"/>
                      <w:u w:val="none"/>
                      <w:lang w:eastAsia="zh-CN"/>
                    </w:rPr>
                    <w:t>安装消声器等</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隔声减震、</w:t>
                  </w:r>
                  <w:r>
                    <w:rPr>
                      <w:rFonts w:hint="default" w:ascii="Times New Roman" w:hAnsi="Times New Roman" w:eastAsia="宋体" w:cs="Times New Roman"/>
                      <w:color w:val="auto"/>
                      <w:sz w:val="21"/>
                      <w:szCs w:val="21"/>
                      <w:highlight w:val="none"/>
                      <w:u w:val="none"/>
                      <w:lang w:eastAsia="zh-CN"/>
                    </w:rPr>
                    <w:t>安装消声器等</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75"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固废处理</w:t>
                  </w:r>
                </w:p>
              </w:tc>
              <w:tc>
                <w:tcPr>
                  <w:tcW w:w="1279"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生活</w:t>
                  </w:r>
                  <w:r>
                    <w:rPr>
                      <w:rFonts w:hint="default" w:ascii="Times New Roman" w:hAnsi="Times New Roman" w:eastAsia="宋体" w:cs="Times New Roman"/>
                      <w:color w:val="auto"/>
                      <w:sz w:val="21"/>
                      <w:szCs w:val="21"/>
                      <w:highlight w:val="none"/>
                      <w:u w:val="none"/>
                    </w:rPr>
                    <w:t>垃圾收集桶</w:t>
                  </w:r>
                  <w:r>
                    <w:rPr>
                      <w:rFonts w:hint="default" w:ascii="Times New Roman" w:hAnsi="Times New Roman" w:eastAsia="宋体" w:cs="Times New Roman"/>
                      <w:color w:val="auto"/>
                      <w:sz w:val="21"/>
                      <w:szCs w:val="21"/>
                      <w:highlight w:val="none"/>
                      <w:u w:val="none"/>
                      <w:lang w:eastAsia="zh-CN"/>
                    </w:rPr>
                    <w:t>、固废暂存间</w:t>
                  </w:r>
                  <w:r>
                    <w:rPr>
                      <w:rFonts w:hint="eastAsia" w:ascii="Times New Roman" w:hAnsi="Times New Roman" w:cs="Times New Roman"/>
                      <w:color w:val="auto"/>
                      <w:sz w:val="21"/>
                      <w:szCs w:val="21"/>
                      <w:highlight w:val="none"/>
                      <w:u w:val="none"/>
                      <w:lang w:eastAsia="zh-CN"/>
                    </w:rPr>
                    <w:t>、</w:t>
                  </w:r>
                  <w:r>
                    <w:rPr>
                      <w:rFonts w:hint="eastAsia" w:ascii="Times New Roman" w:hAnsi="Times New Roman" w:cs="Times New Roman"/>
                      <w:color w:val="auto"/>
                      <w:sz w:val="21"/>
                      <w:szCs w:val="21"/>
                      <w:highlight w:val="none"/>
                      <w:u w:val="none"/>
                      <w:lang w:val="en-US" w:eastAsia="zh-CN"/>
                    </w:rPr>
                    <w:t>危废暂存间</w:t>
                  </w:r>
                </w:p>
              </w:tc>
              <w:tc>
                <w:tcPr>
                  <w:tcW w:w="1283" w:type="pct"/>
                  <w:tcBorders>
                    <w:tl2br w:val="nil"/>
                    <w:tr2bl w:val="nil"/>
                  </w:tcBorders>
                  <w:vAlign w:val="center"/>
                </w:tcPr>
                <w:p>
                  <w:pPr>
                    <w:pStyle w:val="27"/>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生活</w:t>
                  </w:r>
                  <w:r>
                    <w:rPr>
                      <w:rFonts w:hint="default" w:ascii="Times New Roman" w:hAnsi="Times New Roman" w:eastAsia="宋体" w:cs="Times New Roman"/>
                      <w:color w:val="auto"/>
                      <w:sz w:val="21"/>
                      <w:szCs w:val="21"/>
                      <w:highlight w:val="none"/>
                      <w:u w:val="none"/>
                    </w:rPr>
                    <w:t>垃圾收集桶</w:t>
                  </w:r>
                  <w:r>
                    <w:rPr>
                      <w:rFonts w:hint="default" w:ascii="Times New Roman" w:hAnsi="Times New Roman" w:eastAsia="宋体" w:cs="Times New Roman"/>
                      <w:color w:val="auto"/>
                      <w:sz w:val="21"/>
                      <w:szCs w:val="21"/>
                      <w:highlight w:val="none"/>
                      <w:u w:val="none"/>
                      <w:lang w:eastAsia="zh-CN"/>
                    </w:rPr>
                    <w:t>、固废暂存间</w:t>
                  </w:r>
                  <w:r>
                    <w:rPr>
                      <w:rFonts w:hint="eastAsia" w:ascii="Times New Roman" w:hAnsi="Times New Roman" w:cs="Times New Roman"/>
                      <w:color w:val="auto"/>
                      <w:sz w:val="21"/>
                      <w:szCs w:val="21"/>
                      <w:highlight w:val="none"/>
                      <w:u w:val="none"/>
                      <w:lang w:eastAsia="zh-CN"/>
                    </w:rPr>
                    <w:t>、</w:t>
                  </w:r>
                  <w:r>
                    <w:rPr>
                      <w:rFonts w:hint="eastAsia" w:ascii="Times New Roman" w:hAnsi="Times New Roman" w:cs="Times New Roman"/>
                      <w:color w:val="auto"/>
                      <w:sz w:val="21"/>
                      <w:szCs w:val="21"/>
                      <w:highlight w:val="none"/>
                      <w:u w:val="none"/>
                      <w:lang w:val="en-US" w:eastAsia="zh-CN"/>
                    </w:rPr>
                    <w:t>危废暂存间</w:t>
                  </w:r>
                </w:p>
              </w:tc>
              <w:tc>
                <w:tcPr>
                  <w:tcW w:w="763" w:type="pct"/>
                  <w:tcBorders>
                    <w:tl2br w:val="nil"/>
                    <w:tr2bl w:val="nil"/>
                  </w:tcBorders>
                  <w:vAlign w:val="center"/>
                </w:tcPr>
                <w:p>
                  <w:pPr>
                    <w:pStyle w:val="5"/>
                    <w:spacing w:before="8" w:line="240" w:lineRule="auto"/>
                    <w:ind w:right="157"/>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w:t>
                  </w:r>
                </w:p>
                <w:p>
                  <w:pPr>
                    <w:pStyle w:val="5"/>
                    <w:spacing w:before="8" w:line="240" w:lineRule="auto"/>
                    <w:ind w:right="157" w:right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本项目主要生产设备见下表：</w:t>
            </w:r>
          </w:p>
          <w:p>
            <w:pPr>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eastAsia="zh-CN"/>
              </w:rPr>
              <w:t xml:space="preserve">   项目主要生产设备配置一览表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269"/>
              <w:gridCol w:w="3987"/>
              <w:gridCol w:w="1193"/>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196" w:type="pc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2102" w:type="pct"/>
                  <w:tcBorders>
                    <w:tl2br w:val="nil"/>
                    <w:tr2bl w:val="nil"/>
                  </w:tcBorders>
                  <w:vAlign w:val="center"/>
                </w:tcPr>
                <w:p>
                  <w:pPr>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cs="Times New Roman"/>
                      <w:b/>
                      <w:bCs/>
                      <w:sz w:val="21"/>
                      <w:szCs w:val="21"/>
                      <w:lang w:val="en-US" w:eastAsia="zh-CN"/>
                    </w:rPr>
                    <w:t>单位</w:t>
                  </w:r>
                </w:p>
              </w:tc>
              <w:tc>
                <w:tcPr>
                  <w:tcW w:w="629" w:type="pc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环评</w:t>
                  </w:r>
                  <w:r>
                    <w:rPr>
                      <w:rFonts w:hint="default" w:ascii="Times New Roman" w:hAnsi="Times New Roman" w:eastAsia="宋体" w:cs="Times New Roman"/>
                      <w:b/>
                      <w:bCs/>
                      <w:sz w:val="21"/>
                      <w:szCs w:val="21"/>
                    </w:rPr>
                    <w:t>数量</w:t>
                  </w:r>
                </w:p>
              </w:tc>
              <w:tc>
                <w:tcPr>
                  <w:tcW w:w="642" w:type="pc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实际</w:t>
                  </w:r>
                  <w:r>
                    <w:rPr>
                      <w:rFonts w:hint="default" w:ascii="Times New Roman" w:hAnsi="Times New Roman" w:eastAsia="宋体" w:cs="Times New Roman"/>
                      <w:b/>
                      <w:bCs/>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6" w:type="pct"/>
                  <w:tcBorders>
                    <w:tl2br w:val="nil"/>
                    <w:tr2bl w:val="nil"/>
                  </w:tcBorders>
                  <w:vAlign w:val="center"/>
                </w:tcPr>
                <w:p>
                  <w:pPr>
                    <w:pStyle w:val="27"/>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Cs/>
                      <w:sz w:val="21"/>
                      <w:szCs w:val="21"/>
                      <w:lang w:val="en-US" w:eastAsia="zh-CN"/>
                    </w:rPr>
                    <w:t>装卸机械</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27"/>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Cs/>
                      <w:color w:val="000000"/>
                      <w:sz w:val="21"/>
                      <w:szCs w:val="21"/>
                      <w:lang w:val="en-US" w:eastAsia="zh-CN" w:bidi="ar"/>
                    </w:rPr>
                    <w:t>20</w:t>
                  </w:r>
                </w:p>
              </w:tc>
              <w:tc>
                <w:tcPr>
                  <w:tcW w:w="642" w:type="pct"/>
                  <w:tcBorders>
                    <w:tl2br w:val="nil"/>
                    <w:tr2bl w:val="nil"/>
                  </w:tcBorders>
                  <w:vAlign w:val="center"/>
                </w:tcPr>
                <w:p>
                  <w:pPr>
                    <w:pStyle w:val="27"/>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Cs/>
                      <w:color w:val="000000"/>
                      <w:sz w:val="21"/>
                      <w:szCs w:val="21"/>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包装机械</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套</w:t>
                  </w:r>
                </w:p>
              </w:tc>
              <w:tc>
                <w:tcPr>
                  <w:tcW w:w="629"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1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数码机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20</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电脑设备</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20</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叉车</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8</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平板车</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辆</w:t>
                  </w:r>
                </w:p>
              </w:tc>
              <w:tc>
                <w:tcPr>
                  <w:tcW w:w="629"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1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电瓶车</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196"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提升机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sz w:val="21"/>
                      <w:szCs w:val="21"/>
                      <w:lang w:val="en-US" w:eastAsia="zh-CN" w:bidi="ar"/>
                    </w:rPr>
                    <w:t>2</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sz w:val="21"/>
                      <w:szCs w:val="21"/>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1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加压泵</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196"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空压机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1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鼓风机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1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冷冻干燥机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1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color w:val="000000"/>
                      <w:kern w:val="0"/>
                      <w:sz w:val="21"/>
                      <w:szCs w:val="21"/>
                      <w:lang w:val="en-US" w:eastAsia="zh-CN" w:bidi="ar"/>
                    </w:rPr>
                    <w:t>备用发电机</w:t>
                  </w:r>
                </w:p>
              </w:tc>
              <w:tc>
                <w:tcPr>
                  <w:tcW w:w="210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bidi="ar-SA"/>
                    </w:rPr>
                    <w:t>台</w:t>
                  </w:r>
                </w:p>
              </w:tc>
              <w:tc>
                <w:tcPr>
                  <w:tcW w:w="629" w:type="pct"/>
                  <w:tcBorders>
                    <w:tl2br w:val="nil"/>
                    <w:tr2bl w:val="nil"/>
                  </w:tcBorders>
                  <w:vAlign w:val="center"/>
                </w:tcPr>
                <w:p>
                  <w:pPr>
                    <w:pStyle w:val="42"/>
                    <w:spacing w:before="0" w:beforeAutospacing="0" w:after="0" w:afterAutospacing="0"/>
                    <w:jc w:val="center"/>
                    <w:rPr>
                      <w:rFonts w:hint="eastAsia"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w:t>
                  </w:r>
                </w:p>
              </w:tc>
              <w:tc>
                <w:tcPr>
                  <w:tcW w:w="642" w:type="pct"/>
                  <w:tcBorders>
                    <w:tl2br w:val="nil"/>
                    <w:tr2bl w:val="nil"/>
                  </w:tcBorders>
                  <w:vAlign w:val="center"/>
                </w:tcPr>
                <w:p>
                  <w:pPr>
                    <w:pStyle w:val="42"/>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sz w:val="21"/>
                      <w:szCs w:val="21"/>
                      <w:lang w:val="en-US" w:eastAsia="zh-CN"/>
                    </w:rPr>
                    <w:t>2</w:t>
                  </w:r>
                </w:p>
              </w:tc>
            </w:tr>
          </w:tbl>
          <w:p>
            <w:pPr>
              <w:spacing w:line="360" w:lineRule="auto"/>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3、本次竣工验收范围</w:t>
            </w:r>
          </w:p>
          <w:p>
            <w:pPr>
              <w:spacing w:line="360" w:lineRule="auto"/>
              <w:ind w:firstLine="560" w:firstLineChars="200"/>
              <w:rPr>
                <w:rFonts w:hint="eastAsia" w:ascii="Times New Roman" w:hAnsi="Times New Roman" w:cs="Times New Roman"/>
                <w:sz w:val="28"/>
                <w:szCs w:val="28"/>
                <w:u w:val="none"/>
                <w:lang w:val="en-US" w:eastAsia="zh-CN"/>
              </w:rPr>
            </w:pPr>
            <w:r>
              <w:rPr>
                <w:rFonts w:hint="eastAsia" w:ascii="Times New Roman" w:hAnsi="Times New Roman" w:cs="Times New Roman"/>
                <w:sz w:val="28"/>
                <w:szCs w:val="28"/>
                <w:lang w:val="en-US" w:eastAsia="zh-CN"/>
              </w:rPr>
              <w:t>依据环评报告、环评批复以及实际建设内容，岳阳云港化工物流有限公司</w:t>
            </w:r>
            <w:r>
              <w:rPr>
                <w:rFonts w:hint="default" w:ascii="Times New Roman" w:hAnsi="Times New Roman" w:cs="Times New Roman"/>
                <w:sz w:val="28"/>
                <w:szCs w:val="28"/>
                <w:lang w:val="en-US" w:eastAsia="zh-CN"/>
              </w:rPr>
              <w:t>岳阳云港物流园建设项目</w:t>
            </w:r>
            <w:r>
              <w:rPr>
                <w:rFonts w:hint="eastAsia" w:ascii="Times New Roman" w:hAnsi="Times New Roman" w:cs="Times New Roman"/>
                <w:sz w:val="28"/>
                <w:szCs w:val="28"/>
                <w:lang w:val="en-US" w:eastAsia="zh-CN"/>
              </w:rPr>
              <w:t>验收主体为仓储物流转运部分、</w:t>
            </w:r>
            <w:r>
              <w:rPr>
                <w:rFonts w:hint="eastAsia" w:ascii="Times New Roman" w:hAnsi="Times New Roman" w:cs="Times New Roman"/>
                <w:sz w:val="28"/>
                <w:szCs w:val="28"/>
                <w:u w:val="none"/>
                <w:lang w:val="en-US" w:eastAsia="zh-CN"/>
              </w:rPr>
              <w:t>车辆</w:t>
            </w:r>
            <w:r>
              <w:rPr>
                <w:rFonts w:hint="eastAsia" w:ascii="Times New Roman" w:hAnsi="Times New Roman" w:cs="Times New Roman"/>
                <w:sz w:val="28"/>
                <w:szCs w:val="28"/>
                <w:lang w:val="en-US" w:eastAsia="zh-CN"/>
              </w:rPr>
              <w:t>停车场、车辆维修部分、危货槽车清洗部分以及办</w:t>
            </w:r>
            <w:r>
              <w:rPr>
                <w:rFonts w:hint="eastAsia" w:ascii="Times New Roman" w:hAnsi="Times New Roman" w:cs="Times New Roman"/>
                <w:sz w:val="28"/>
                <w:szCs w:val="28"/>
                <w:u w:val="none"/>
                <w:lang w:val="en-US" w:eastAsia="zh-CN"/>
              </w:rPr>
              <w:t>公生活部分，其中危货槽车清洗部分2017年9月11日原岳阳市环境保护局云溪区分局（现岳阳市生态环境局云溪分局）以《关于岳阳云港物流园子项目岳阳市金港危化品车辆清洗服务有限公司危货槽罐车清洗竣工环境保护验收批复意见》对清洗作业区（危货槽罐车清洗）环保验收予以批复（批复意见见附件4），故本次竣工验收范围为仓储物流转运部分、车辆停车场、车辆维修部分以及办公生活部分。</w:t>
            </w:r>
          </w:p>
          <w:p>
            <w:pPr>
              <w:spacing w:line="360" w:lineRule="auto"/>
              <w:ind w:firstLine="440" w:firstLineChars="200"/>
              <w:rPr>
                <w:rFonts w:hint="default" w:ascii="Times New Roman" w:hAnsi="Times New Roman" w:eastAsia="宋体" w:cs="Times New Roman"/>
                <w:sz w:val="21"/>
                <w:lang w:val="en-US" w:eastAsia="zh-CN"/>
              </w:rPr>
            </w:pP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原辅材料消耗及水平衡：</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1、原辅材料消耗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本项目提供物流中转、汽车维修以及车辆</w:t>
            </w:r>
            <w:r>
              <w:rPr>
                <w:rFonts w:hint="eastAsia" w:ascii="Times New Roman" w:hAnsi="Times New Roman" w:cs="Times New Roman"/>
                <w:sz w:val="28"/>
                <w:szCs w:val="28"/>
                <w:lang w:val="en-US" w:eastAsia="zh-CN"/>
              </w:rPr>
              <w:t>暂时停放</w:t>
            </w:r>
            <w:r>
              <w:rPr>
                <w:rFonts w:hint="default" w:ascii="Times New Roman" w:hAnsi="Times New Roman" w:eastAsia="宋体" w:cs="Times New Roman"/>
                <w:sz w:val="28"/>
                <w:szCs w:val="28"/>
                <w:lang w:val="en-US" w:eastAsia="zh-CN"/>
              </w:rPr>
              <w:t>等服务，不涉及明显的原辅材料消耗，检测期间仅大车维修工段消耗了部分汽车零部件易损件。</w:t>
            </w:r>
          </w:p>
          <w:p>
            <w:pPr>
              <w:numPr>
                <w:ilvl w:val="0"/>
                <w:numId w:val="0"/>
              </w:num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水平衡</w:t>
            </w:r>
          </w:p>
          <w:p>
            <w:pPr>
              <w:pStyle w:val="2"/>
              <w:keepNext w:val="0"/>
              <w:keepLines w:val="0"/>
              <w:pageBreakBefore w:val="0"/>
              <w:widowControl w:val="0"/>
              <w:kinsoku/>
              <w:wordWrap/>
              <w:overflowPunct/>
              <w:topLinePunct w:val="0"/>
              <w:autoSpaceDE w:val="0"/>
              <w:autoSpaceDN w:val="0"/>
              <w:bidi w:val="0"/>
              <w:snapToGrid/>
              <w:spacing w:line="360" w:lineRule="auto"/>
              <w:ind w:firstLine="560" w:firstLineChars="200"/>
              <w:textAlignment w:val="auto"/>
              <w:rPr>
                <w:rFonts w:hint="default"/>
                <w:sz w:val="28"/>
                <w:szCs w:val="28"/>
                <w:lang w:val="en-US"/>
              </w:rPr>
            </w:pPr>
            <w:r>
              <w:rPr>
                <w:rFonts w:hint="eastAsia" w:ascii="Times New Roman" w:hAnsi="Times New Roman" w:eastAsia="宋体" w:cs="Times New Roman"/>
                <w:sz w:val="28"/>
                <w:szCs w:val="28"/>
                <w:lang w:val="en-US" w:eastAsia="zh-CN"/>
              </w:rPr>
              <w:t>项目用水主要为生活用水，废水主要为生活污水。</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vertAlign w:val="baseline"/>
                <w:lang w:val="en-US" w:eastAsia="zh-CN"/>
              </w:rPr>
            </w:pPr>
            <w:r>
              <w:rPr>
                <w:rFonts w:hint="default" w:ascii="Times New Roman" w:hAnsi="Times New Roman" w:eastAsia="宋体" w:cs="Times New Roman"/>
                <w:sz w:val="28"/>
                <w:szCs w:val="28"/>
                <w:lang w:val="en-US" w:eastAsia="zh-CN"/>
              </w:rPr>
              <w:t>验收期间项目水平衡</w:t>
            </w:r>
            <w:r>
              <w:rPr>
                <w:rFonts w:hint="eastAsia" w:ascii="Times New Roman" w:hAnsi="Times New Roman" w:eastAsia="宋体" w:cs="Times New Roman"/>
                <w:sz w:val="28"/>
                <w:szCs w:val="28"/>
                <w:lang w:val="en-US" w:eastAsia="zh-CN"/>
              </w:rPr>
              <w:t>见</w:t>
            </w:r>
            <w:r>
              <w:rPr>
                <w:rFonts w:hint="default" w:ascii="Times New Roman" w:hAnsi="Times New Roman" w:eastAsia="宋体" w:cs="Times New Roman"/>
                <w:sz w:val="28"/>
                <w:szCs w:val="28"/>
                <w:lang w:val="en-US" w:eastAsia="zh-CN"/>
              </w:rPr>
              <w:t>下表：</w:t>
            </w:r>
          </w:p>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项目水平衡一览表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0"/>
              <w:gridCol w:w="1050"/>
              <w:gridCol w:w="1050"/>
              <w:gridCol w:w="1060"/>
              <w:gridCol w:w="1054"/>
              <w:gridCol w:w="1054"/>
              <w:gridCol w:w="1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项目</w:t>
                  </w:r>
                </w:p>
              </w:tc>
              <w:tc>
                <w:tcPr>
                  <w:tcW w:w="1667" w:type="pct"/>
                  <w:gridSpan w:val="3"/>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给水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c>
                <w:tcPr>
                  <w:tcW w:w="1670" w:type="pct"/>
                  <w:gridSpan w:val="3"/>
                  <w:tcBorders>
                    <w:tl2br w:val="nil"/>
                    <w:tr2bl w:val="nil"/>
                  </w:tcBorders>
                  <w:vAlign w:val="center"/>
                </w:tcPr>
                <w:p>
                  <w:pPr>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排水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日期</w:t>
                  </w:r>
                </w:p>
              </w:tc>
              <w:tc>
                <w:tcPr>
                  <w:tcW w:w="55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w:t>
                  </w:r>
                  <w:r>
                    <w:rPr>
                      <w:rFonts w:hint="eastAsia" w:ascii="Times New Roman" w:hAnsi="Times New Roman" w:cs="Times New Roman"/>
                      <w:color w:val="auto"/>
                      <w:sz w:val="21"/>
                      <w:szCs w:val="21"/>
                      <w:vertAlign w:val="baseline"/>
                      <w:lang w:val="en-US" w:eastAsia="zh-CN"/>
                    </w:rPr>
                    <w:t>7</w:t>
                  </w:r>
                </w:p>
              </w:tc>
              <w:tc>
                <w:tcPr>
                  <w:tcW w:w="55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w:t>
                  </w:r>
                  <w:r>
                    <w:rPr>
                      <w:rFonts w:hint="eastAsia" w:ascii="Times New Roman" w:hAnsi="Times New Roman" w:cs="Times New Roman"/>
                      <w:color w:val="auto"/>
                      <w:sz w:val="21"/>
                      <w:szCs w:val="21"/>
                      <w:vertAlign w:val="baseline"/>
                      <w:lang w:val="en-US" w:eastAsia="zh-CN"/>
                    </w:rPr>
                    <w:t>8</w:t>
                  </w:r>
                </w:p>
              </w:tc>
              <w:tc>
                <w:tcPr>
                  <w:tcW w:w="558"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平均</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11.1</w:t>
                  </w:r>
                  <w:r>
                    <w:rPr>
                      <w:rFonts w:hint="eastAsia" w:ascii="Times New Roman" w:hAnsi="Times New Roman" w:cs="Times New Roman"/>
                      <w:color w:val="auto"/>
                      <w:sz w:val="21"/>
                      <w:szCs w:val="21"/>
                      <w:vertAlign w:val="baseline"/>
                      <w:lang w:val="en-US" w:eastAsia="zh-CN"/>
                    </w:rPr>
                    <w:t>7</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11.1</w:t>
                  </w:r>
                  <w:r>
                    <w:rPr>
                      <w:rFonts w:hint="eastAsia" w:ascii="Times New Roman" w:hAnsi="Times New Roman" w:cs="Times New Roman"/>
                      <w:color w:val="auto"/>
                      <w:sz w:val="21"/>
                      <w:szCs w:val="21"/>
                      <w:vertAlign w:val="baseline"/>
                      <w:lang w:val="en-US" w:eastAsia="zh-CN"/>
                    </w:rPr>
                    <w:t>8</w:t>
                  </w:r>
                </w:p>
              </w:tc>
              <w:tc>
                <w:tcPr>
                  <w:tcW w:w="558"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生活污水</w:t>
                  </w:r>
                </w:p>
              </w:tc>
              <w:tc>
                <w:tcPr>
                  <w:tcW w:w="554"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w:t>
                  </w:r>
                </w:p>
              </w:tc>
              <w:tc>
                <w:tcPr>
                  <w:tcW w:w="554"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w:t>
                  </w:r>
                </w:p>
              </w:tc>
              <w:tc>
                <w:tcPr>
                  <w:tcW w:w="558"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16</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16</w:t>
                  </w:r>
                </w:p>
              </w:tc>
              <w:tc>
                <w:tcPr>
                  <w:tcW w:w="558"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16</w:t>
                  </w:r>
                </w:p>
              </w:tc>
            </w:tr>
          </w:tbl>
          <w:p>
            <w:pPr>
              <w:pStyle w:val="5"/>
              <w:spacing w:before="8" w:line="220" w:lineRule="auto"/>
              <w:ind w:right="157"/>
              <w:jc w:val="center"/>
              <w:rPr>
                <w:rFonts w:hint="eastAsia" w:ascii="Times New Roman" w:hAnsi="Times New Roman" w:eastAsia="宋体" w:cs="Times New Roman"/>
                <w:b/>
                <w:bCs/>
                <w:spacing w:val="-3"/>
                <w:sz w:val="21"/>
                <w:szCs w:val="21"/>
                <w:lang w:eastAsia="zh-CN"/>
              </w:rPr>
            </w:pPr>
            <w:r>
              <w:rPr>
                <w:rFonts w:hint="eastAsia" w:ascii="Times New Roman" w:hAnsi="Times New Roman" w:eastAsia="宋体" w:cs="Times New Roman"/>
                <w:b/>
                <w:bCs/>
                <w:spacing w:val="-3"/>
                <w:sz w:val="21"/>
                <w:szCs w:val="21"/>
                <w:lang w:eastAsia="zh-CN"/>
              </w:rPr>
              <w:object>
                <v:shape id="_x0000_i1025" o:spt="75" type="#_x0000_t75" style="height:85.5pt;width:458.2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rFonts w:hint="eastAsia" w:ascii="Times New Roman" w:hAnsi="Times New Roman" w:eastAsia="宋体" w:cs="Times New Roman"/>
                <w:b/>
                <w:bCs/>
                <w:spacing w:val="-3"/>
                <w:sz w:val="21"/>
                <w:szCs w:val="21"/>
                <w:lang w:eastAsia="zh-CN"/>
              </w:rPr>
              <w:br w:type="textWrapping"/>
            </w:r>
          </w:p>
          <w:p>
            <w:pPr>
              <w:pStyle w:val="5"/>
              <w:spacing w:before="8" w:line="220" w:lineRule="auto"/>
              <w:ind w:right="157"/>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pacing w:val="-3"/>
                <w:sz w:val="24"/>
                <w:szCs w:val="24"/>
                <w:lang w:eastAsia="zh-CN"/>
              </w:rPr>
              <w:t xml:space="preserve">图1  项目水平衡图 </w:t>
            </w:r>
            <w:r>
              <w:rPr>
                <w:rFonts w:hint="eastAsia" w:ascii="Times New Roman" w:hAnsi="Times New Roman" w:cs="Times New Roman"/>
                <w:b/>
                <w:bCs/>
                <w:spacing w:val="-3"/>
                <w:sz w:val="24"/>
                <w:szCs w:val="24"/>
                <w:lang w:eastAsia="zh-CN"/>
              </w:rPr>
              <w:t>（</w:t>
            </w:r>
            <w:r>
              <w:rPr>
                <w:rFonts w:hint="eastAsia" w:ascii="Times New Roman" w:hAnsi="Times New Roman" w:cs="Times New Roman"/>
                <w:b/>
                <w:bCs/>
                <w:spacing w:val="-3"/>
                <w:sz w:val="24"/>
                <w:szCs w:val="24"/>
                <w:lang w:val="en-US" w:eastAsia="zh-CN"/>
              </w:rPr>
              <w:t>m</w:t>
            </w:r>
            <w:r>
              <w:rPr>
                <w:rFonts w:hint="eastAsia" w:ascii="Times New Roman" w:hAnsi="Times New Roman" w:cs="Times New Roman"/>
                <w:b/>
                <w:bCs/>
                <w:spacing w:val="-3"/>
                <w:sz w:val="24"/>
                <w:szCs w:val="24"/>
                <w:vertAlign w:val="superscript"/>
                <w:lang w:val="en-US" w:eastAsia="zh-CN"/>
              </w:rPr>
              <w:t>3</w:t>
            </w:r>
            <w:r>
              <w:rPr>
                <w:rFonts w:hint="eastAsia" w:ascii="Times New Roman" w:hAnsi="Times New Roman" w:cs="Times New Roman"/>
                <w:b/>
                <w:bCs/>
                <w:spacing w:val="-3"/>
                <w:sz w:val="24"/>
                <w:szCs w:val="24"/>
                <w:lang w:val="en-US" w:eastAsia="zh-CN"/>
              </w:rPr>
              <w:t>/d</w:t>
            </w:r>
            <w:r>
              <w:rPr>
                <w:rFonts w:hint="eastAsia" w:ascii="Times New Roman" w:hAnsi="Times New Roman" w:cs="Times New Roman"/>
                <w:b/>
                <w:bCs/>
                <w:spacing w:val="-3"/>
                <w:sz w:val="24"/>
                <w:szCs w:val="24"/>
                <w:lang w:eastAsia="zh-CN"/>
              </w:rPr>
              <w:t>）</w:t>
            </w:r>
            <w:r>
              <w:rPr>
                <w:rFonts w:hint="default" w:ascii="Times New Roman" w:hAnsi="Times New Roman" w:eastAsia="宋体" w:cs="Times New Roman"/>
                <w:b/>
                <w:bCs/>
                <w:spacing w:val="-3"/>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主要工艺流程及产污环节：</w:t>
            </w:r>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本项目主要包括污染工序主要包括物流运输、停车区和维修区。</w:t>
            </w:r>
          </w:p>
          <w:p>
            <w:pPr>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default" w:ascii="Times New Roman" w:hAnsi="Times New Roman" w:eastAsia="宋体" w:cs="Times New Roman"/>
                <w:lang w:eastAsia="zh-CN"/>
              </w:rPr>
            </w:pPr>
            <w:r>
              <w:rPr>
                <w:rFonts w:hint="eastAsia" w:ascii="Times New Roman" w:hAnsi="Times New Roman" w:cs="Times New Roman"/>
                <w:b/>
                <w:bCs/>
                <w:sz w:val="28"/>
                <w:szCs w:val="28"/>
                <w:lang w:val="en-US" w:eastAsia="zh-CN"/>
              </w:rPr>
              <w:t>（1）物流运输生产工艺流程如下：</w:t>
            </w:r>
            <w:r>
              <w:rPr>
                <w:rFonts w:hint="default" w:ascii="Times New Roman" w:hAnsi="Times New Roman" w:eastAsia="宋体" w:cs="Times New Roman"/>
                <w:lang w:eastAsia="zh-CN"/>
              </w:rPr>
              <w:object>
                <v:shape id="_x0000_i1026" o:spt="75" type="#_x0000_t75" style="height:219pt;width:474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pStyle w:val="5"/>
              <w:spacing w:before="8" w:line="220" w:lineRule="auto"/>
              <w:ind w:right="157" w:firstLine="41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图2  本项目</w:t>
            </w:r>
            <w:r>
              <w:rPr>
                <w:rFonts w:hint="eastAsia" w:ascii="Times New Roman" w:hAnsi="Times New Roman" w:cs="Times New Roman"/>
                <w:b/>
                <w:bCs/>
                <w:sz w:val="24"/>
                <w:szCs w:val="24"/>
                <w:lang w:val="en-US" w:eastAsia="zh-CN"/>
              </w:rPr>
              <w:t>物流运输工艺</w:t>
            </w:r>
            <w:r>
              <w:rPr>
                <w:rFonts w:hint="default" w:ascii="Times New Roman" w:hAnsi="Times New Roman" w:eastAsia="宋体" w:cs="Times New Roman"/>
                <w:b/>
                <w:bCs/>
                <w:sz w:val="24"/>
                <w:szCs w:val="24"/>
                <w:lang w:eastAsia="zh-CN"/>
              </w:rPr>
              <w:t>流程及产污环节示意图</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主要工艺说明：</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主要工艺流程为汽车运输和货物装卸。污染物主要为装卸过程中产生的粉尘和汽车尾气，交通、机械噪声。</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sz w:val="24"/>
                <w:szCs w:val="28"/>
                <w:lang w:val="en-US" w:eastAsia="zh-CN"/>
              </w:rPr>
            </w:pPr>
            <w:r>
              <w:rPr>
                <w:rFonts w:hint="eastAsia" w:cs="Times New Roman"/>
                <w:b/>
                <w:bCs/>
                <w:sz w:val="24"/>
                <w:szCs w:val="28"/>
                <w:lang w:val="en-US" w:eastAsia="zh-CN"/>
              </w:rPr>
              <w:t>（2）维修区生产工艺流程如下：</w:t>
            </w:r>
          </w:p>
          <w:p>
            <w:pPr>
              <w:pStyle w:val="2"/>
              <w:ind w:firstLine="560" w:firstLineChars="200"/>
              <w:rPr>
                <w:rFonts w:hint="eastAsia" w:ascii="Times New Roman" w:hAnsi="Times New Roman" w:eastAsia="宋体" w:cs="Times New Roman"/>
                <w:color w:val="auto"/>
                <w:kern w:val="0"/>
                <w:sz w:val="28"/>
                <w:szCs w:val="28"/>
                <w:lang w:val="en-US" w:eastAsia="zh-CN" w:bidi="ar-SA"/>
              </w:rPr>
            </w:pPr>
            <w:r>
              <w:rPr>
                <w:rFonts w:hint="eastAsia" w:ascii="Times New Roman" w:hAnsi="Times New Roman" w:eastAsia="宋体" w:cs="Times New Roman"/>
                <w:color w:val="auto"/>
                <w:kern w:val="0"/>
                <w:sz w:val="28"/>
                <w:szCs w:val="28"/>
                <w:lang w:val="en-US" w:eastAsia="zh-CN" w:bidi="ar-SA"/>
              </w:rPr>
              <w:t>项目维修区仅涉及基础维修，不涉及油漆等工艺</w:t>
            </w:r>
            <w:r>
              <w:rPr>
                <w:rFonts w:hint="eastAsia" w:cs="Times New Roman"/>
                <w:color w:val="auto"/>
                <w:kern w:val="0"/>
                <w:sz w:val="28"/>
                <w:szCs w:val="28"/>
                <w:lang w:val="en-US" w:eastAsia="zh-CN" w:bidi="ar-SA"/>
              </w:rPr>
              <w:t>，槽罐车维修仅限汽车头部和车轮底盘，不涉及罐体维修及焊接等。</w:t>
            </w:r>
          </w:p>
          <w:p>
            <w:pPr>
              <w:pStyle w:val="2"/>
              <w:jc w:val="center"/>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object>
                <v:shape id="_x0000_i1027" o:spt="75" type="#_x0000_t75" style="height:94.5pt;width:306.7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5"/>
              <w:spacing w:before="8" w:line="220" w:lineRule="auto"/>
              <w:ind w:right="157" w:firstLine="41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图</w:t>
            </w: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eastAsia="zh-CN"/>
              </w:rPr>
              <w:t xml:space="preserve">  本项目</w:t>
            </w:r>
            <w:r>
              <w:rPr>
                <w:rFonts w:hint="eastAsia" w:ascii="Times New Roman" w:hAnsi="Times New Roman" w:cs="Times New Roman"/>
                <w:b/>
                <w:bCs/>
                <w:sz w:val="24"/>
                <w:szCs w:val="24"/>
                <w:lang w:val="en-US" w:eastAsia="zh-CN"/>
              </w:rPr>
              <w:t>维修区工艺</w:t>
            </w:r>
            <w:r>
              <w:rPr>
                <w:rFonts w:hint="default" w:ascii="Times New Roman" w:hAnsi="Times New Roman" w:eastAsia="宋体" w:cs="Times New Roman"/>
                <w:b/>
                <w:bCs/>
                <w:sz w:val="24"/>
                <w:szCs w:val="24"/>
                <w:lang w:eastAsia="zh-CN"/>
              </w:rPr>
              <w:t>流程及产污环节示意图</w:t>
            </w:r>
          </w:p>
          <w:p>
            <w:pPr>
              <w:pStyle w:val="2"/>
              <w:rPr>
                <w:rFonts w:hint="eastAsia"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主要工艺说明：</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主要工艺流程为</w:t>
            </w:r>
            <w:r>
              <w:rPr>
                <w:rFonts w:hint="eastAsia" w:cs="Times New Roman"/>
                <w:sz w:val="28"/>
                <w:szCs w:val="28"/>
                <w:lang w:val="en-US" w:eastAsia="zh-CN"/>
              </w:rPr>
              <w:t>汽车驶入和驾出厂区和汽车维修。</w:t>
            </w:r>
            <w:r>
              <w:rPr>
                <w:rFonts w:hint="eastAsia" w:ascii="Times New Roman" w:hAnsi="Times New Roman" w:eastAsia="宋体" w:cs="Times New Roman"/>
                <w:sz w:val="28"/>
                <w:szCs w:val="28"/>
                <w:lang w:val="en-US" w:eastAsia="zh-CN"/>
              </w:rPr>
              <w:t>污染物主要</w:t>
            </w:r>
            <w:r>
              <w:rPr>
                <w:rFonts w:hint="eastAsia" w:cs="Times New Roman"/>
                <w:sz w:val="28"/>
                <w:szCs w:val="28"/>
                <w:lang w:val="en-US" w:eastAsia="zh-CN"/>
              </w:rPr>
              <w:t>汽车驶入、驶出过程产生汽车尾气、粉尘和噪声，维修过程中产生的维修固废等。</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eastAsia" w:cs="Times New Roman"/>
                <w:b/>
                <w:bCs/>
                <w:color w:val="auto"/>
                <w:kern w:val="0"/>
                <w:sz w:val="28"/>
                <w:szCs w:val="28"/>
                <w:lang w:val="en-US" w:eastAsia="zh-CN" w:bidi="ar-SA"/>
              </w:rPr>
              <w:t>（3）</w:t>
            </w:r>
            <w:r>
              <w:rPr>
                <w:rFonts w:hint="eastAsia" w:ascii="Times New Roman" w:hAnsi="Times New Roman" w:eastAsia="宋体" w:cs="Times New Roman"/>
                <w:b/>
                <w:bCs/>
                <w:color w:val="auto"/>
                <w:kern w:val="0"/>
                <w:sz w:val="28"/>
                <w:szCs w:val="28"/>
                <w:lang w:val="en-US" w:eastAsia="zh-CN" w:bidi="ar-SA"/>
              </w:rPr>
              <w:t>停车区</w:t>
            </w:r>
            <w:r>
              <w:rPr>
                <w:rFonts w:hint="eastAsia" w:cs="Times New Roman"/>
                <w:b/>
                <w:bCs/>
                <w:sz w:val="28"/>
                <w:szCs w:val="28"/>
                <w:lang w:val="en-US" w:eastAsia="zh-CN"/>
              </w:rPr>
              <w:t>生产工艺流程如下：</w:t>
            </w:r>
          </w:p>
          <w:p>
            <w:pPr>
              <w:pStyle w:val="2"/>
              <w:rPr>
                <w:rFonts w:hint="default" w:ascii="Times New Roman" w:hAnsi="Times New Roman" w:eastAsia="宋体" w:cs="Times New Roman"/>
                <w:color w:val="auto"/>
                <w:kern w:val="0"/>
                <w:sz w:val="24"/>
                <w:szCs w:val="24"/>
                <w:lang w:val="en-US" w:eastAsia="zh-CN" w:bidi="ar-SA"/>
              </w:rPr>
            </w:pPr>
          </w:p>
          <w:p>
            <w:pPr>
              <w:pStyle w:val="2"/>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object>
                <v:shape id="_x0000_i1028" o:spt="75" type="#_x0000_t75" style="height:98.25pt;width:326.2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pStyle w:val="5"/>
              <w:spacing w:before="8" w:line="220" w:lineRule="auto"/>
              <w:ind w:right="157" w:firstLine="41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图</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本项目</w:t>
            </w:r>
            <w:r>
              <w:rPr>
                <w:rFonts w:hint="eastAsia" w:ascii="Times New Roman" w:hAnsi="Times New Roman" w:cs="Times New Roman"/>
                <w:b/>
                <w:bCs/>
                <w:sz w:val="24"/>
                <w:szCs w:val="24"/>
                <w:lang w:val="en-US" w:eastAsia="zh-CN"/>
              </w:rPr>
              <w:t>维修区工艺</w:t>
            </w:r>
            <w:r>
              <w:rPr>
                <w:rFonts w:hint="default" w:ascii="Times New Roman" w:hAnsi="Times New Roman" w:eastAsia="宋体" w:cs="Times New Roman"/>
                <w:b/>
                <w:bCs/>
                <w:sz w:val="24"/>
                <w:szCs w:val="24"/>
                <w:lang w:eastAsia="zh-CN"/>
              </w:rPr>
              <w:t>流程及产污环节示意图</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主要工艺说明：</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主要工艺流程为</w:t>
            </w:r>
            <w:r>
              <w:rPr>
                <w:rFonts w:hint="eastAsia" w:cs="Times New Roman"/>
                <w:sz w:val="28"/>
                <w:szCs w:val="28"/>
                <w:lang w:val="en-US" w:eastAsia="zh-CN"/>
              </w:rPr>
              <w:t>汽车驶入、停放和驶出厂区。</w:t>
            </w:r>
            <w:r>
              <w:rPr>
                <w:rFonts w:hint="eastAsia" w:ascii="Times New Roman" w:hAnsi="Times New Roman" w:eastAsia="宋体" w:cs="Times New Roman"/>
                <w:sz w:val="28"/>
                <w:szCs w:val="28"/>
                <w:lang w:val="en-US" w:eastAsia="zh-CN"/>
              </w:rPr>
              <w:t>污染物主要为</w:t>
            </w:r>
            <w:r>
              <w:rPr>
                <w:rFonts w:hint="eastAsia" w:cs="Times New Roman"/>
                <w:sz w:val="28"/>
                <w:szCs w:val="28"/>
                <w:lang w:val="en-US" w:eastAsia="zh-CN"/>
              </w:rPr>
              <w:t>车辆驶入、驶出过程产生汽车尾气、粉尘和噪声。</w:t>
            </w: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eastAsia" w:ascii="Times New Roman" w:hAnsi="Times New Roman" w:eastAsia="宋体" w:cs="Times New Roman"/>
                <w:color w:val="auto"/>
                <w:kern w:val="0"/>
                <w:sz w:val="24"/>
                <w:szCs w:val="24"/>
                <w:lang w:val="en-US" w:eastAsia="zh-CN" w:bidi="ar-SA"/>
              </w:rPr>
            </w:pPr>
          </w:p>
          <w:p>
            <w:pPr>
              <w:pStyle w:val="2"/>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r>
              <w:rPr>
                <w:rFonts w:hint="default" w:ascii="Times New Roman" w:hAnsi="Times New Roman" w:eastAsia="宋体" w:cs="Times New Roman"/>
                <w:color w:val="auto"/>
                <w:kern w:val="0"/>
                <w:sz w:val="24"/>
                <w:szCs w:val="24"/>
                <w:lang w:val="en-US" w:eastAsia="zh-CN" w:bidi="ar-SA"/>
              </w:rPr>
              <w:br w:type="textWrapping"/>
            </w: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spacing w:before="8" w:line="220" w:lineRule="auto"/>
        <w:ind w:right="157"/>
        <w:jc w:val="both"/>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表三</w:t>
      </w:r>
    </w:p>
    <w:tbl>
      <w:tblPr>
        <w:tblStyle w:val="18"/>
        <w:tblW w:w="522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8897"/>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6573" w:hRule="atLeast"/>
          <w:jc w:val="center"/>
        </w:trPr>
        <w:tc>
          <w:tcPr>
            <w:tcW w:w="5000" w:type="pct"/>
          </w:tcPr>
          <w:p>
            <w:pPr>
              <w:spacing w:line="360" w:lineRule="auto"/>
              <w:rPr>
                <w:rFonts w:hint="default"/>
                <w:b/>
                <w:bCs/>
                <w:sz w:val="28"/>
                <w:szCs w:val="28"/>
                <w:lang w:eastAsia="zh-CN"/>
              </w:rPr>
            </w:pPr>
            <w:r>
              <w:rPr>
                <w:rFonts w:hint="default"/>
                <w:b/>
                <w:bCs/>
                <w:sz w:val="28"/>
                <w:szCs w:val="28"/>
                <w:lang w:eastAsia="zh-CN"/>
              </w:rPr>
              <w:t>主要污染源、污染物处理和排放（附处理流程示意图，标出废水、废气、厂界噪声监测点位）：</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一、废水</w:t>
            </w:r>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rFonts w:hint="default" w:cs="Times New Roman"/>
                <w:color w:val="auto"/>
                <w:kern w:val="2"/>
                <w:sz w:val="28"/>
                <w:szCs w:val="28"/>
                <w:lang w:val="en-US" w:eastAsia="zh-CN" w:bidi="ar"/>
              </w:rPr>
            </w:pPr>
            <w:r>
              <w:rPr>
                <w:rFonts w:hint="default" w:ascii="Times New Roman" w:hAnsi="Times New Roman" w:cs="Times New Roman"/>
                <w:sz w:val="28"/>
                <w:szCs w:val="28"/>
                <w:lang w:val="en-US" w:eastAsia="zh-CN"/>
              </w:rPr>
              <w:t>本项目主要为生活污水，生活废水污染物因子含量较小，通过化粪池的预处理达到《污水综合排放标准》(</w:t>
            </w:r>
            <w:r>
              <w:rPr>
                <w:rFonts w:hint="default" w:ascii="Times New Roman" w:hAnsi="Times New Roman" w:cs="Times New Roman"/>
                <w:color w:val="auto"/>
                <w:sz w:val="28"/>
                <w:szCs w:val="28"/>
                <w:lang w:val="en-US" w:eastAsia="zh-CN"/>
              </w:rPr>
              <w:t>GB8978-1996)中三级标准后排入云溪区污水处理厂处理达标后排入长江。</w:t>
            </w:r>
            <w:r>
              <w:rPr>
                <w:rFonts w:hint="eastAsia" w:ascii="Times New Roman" w:hAnsi="Times New Roman" w:cs="Times New Roman"/>
                <w:color w:val="auto"/>
                <w:sz w:val="28"/>
                <w:szCs w:val="28"/>
                <w:lang w:val="en-US" w:eastAsia="zh-CN"/>
              </w:rPr>
              <w:t>停车场及维修区初期雨水经过停车场围堰以及维修区雨水沟导流后经过项目设置的隔油设备处理后进入初期雨水收集池，最后回用于</w:t>
            </w:r>
            <w:r>
              <w:rPr>
                <w:rFonts w:hint="eastAsia" w:cs="Times New Roman"/>
                <w:color w:val="auto"/>
                <w:kern w:val="2"/>
                <w:sz w:val="28"/>
                <w:szCs w:val="28"/>
                <w:lang w:val="en-US" w:eastAsia="zh-CN" w:bidi="ar"/>
              </w:rPr>
              <w:t>危货槽罐车清洗。隔油池定期清掏废油，暂存于危废暂存间内，与废机油一起委托湖南双强环保科技有限公司进行处理。</w:t>
            </w:r>
          </w:p>
          <w:p>
            <w:pPr>
              <w:keepNext w:val="0"/>
              <w:keepLines w:val="0"/>
              <w:pageBreakBefore w:val="0"/>
              <w:widowControl w:val="0"/>
              <w:kinsoku/>
              <w:wordWrap/>
              <w:overflowPunct/>
              <w:topLinePunct w:val="0"/>
              <w:bidi w:val="0"/>
              <w:adjustRightInd/>
              <w:snapToGrid/>
              <w:spacing w:line="360" w:lineRule="auto"/>
              <w:ind w:firstLine="560" w:firstLineChars="200"/>
              <w:textAlignment w:val="auto"/>
              <w:rPr>
                <w:rFonts w:hint="default" w:ascii="Times New Roman" w:hAnsi="Times New Roman" w:cs="Times New Roman"/>
                <w:color w:val="auto"/>
                <w:sz w:val="28"/>
                <w:szCs w:val="28"/>
                <w:lang w:val="en-US" w:eastAsia="zh-CN"/>
              </w:rPr>
            </w:pPr>
            <w:r>
              <w:rPr>
                <w:rFonts w:hint="eastAsia" w:cs="Times New Roman"/>
                <w:color w:val="auto"/>
                <w:kern w:val="2"/>
                <w:sz w:val="28"/>
                <w:szCs w:val="28"/>
                <w:lang w:val="en-US" w:eastAsia="zh-CN" w:bidi="ar"/>
              </w:rPr>
              <w:t>（车辆清洗废水和槽罐清洗废水由危货槽罐车清洗段废水处理设施处理，危货槽罐车清洗段已经单独完成了竣工环保验收，不在本次验收范围内）。</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表5 </w:t>
            </w:r>
            <w:r>
              <w:rPr>
                <w:rFonts w:hint="eastAsia" w:ascii="Times New Roman" w:hAnsi="Times New Roman" w:cs="Times New Roman"/>
                <w:b/>
                <w:bCs/>
                <w:sz w:val="24"/>
                <w:szCs w:val="24"/>
                <w:lang w:val="en-US" w:eastAsia="zh-CN"/>
              </w:rPr>
              <w:t>废水</w:t>
            </w:r>
            <w:r>
              <w:rPr>
                <w:rFonts w:hint="default" w:ascii="Times New Roman" w:hAnsi="Times New Roman" w:cs="Times New Roman"/>
                <w:b/>
                <w:bCs/>
                <w:sz w:val="24"/>
                <w:szCs w:val="24"/>
                <w:lang w:val="en-US" w:eastAsia="zh-CN"/>
              </w:rPr>
              <w:t>主要污染物产生、防治措施、排放方式一览表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49"/>
              <w:gridCol w:w="1548"/>
              <w:gridCol w:w="1430"/>
              <w:gridCol w:w="1301"/>
              <w:gridCol w:w="2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719"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污染源</w:t>
                  </w:r>
                </w:p>
              </w:tc>
              <w:tc>
                <w:tcPr>
                  <w:tcW w:w="891"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污染因子</w:t>
                  </w:r>
                </w:p>
              </w:tc>
              <w:tc>
                <w:tcPr>
                  <w:tcW w:w="823"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防治措施</w:t>
                  </w:r>
                </w:p>
              </w:tc>
              <w:tc>
                <w:tcPr>
                  <w:tcW w:w="749"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排放方式</w:t>
                  </w:r>
                </w:p>
              </w:tc>
              <w:tc>
                <w:tcPr>
                  <w:tcW w:w="1402"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eastAsia" w:cs="Times New Roman"/>
                      <w:b/>
                      <w:bCs/>
                      <w:sz w:val="21"/>
                      <w:szCs w:val="21"/>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p>
                  <w:pPr>
                    <w:pStyle w:val="2"/>
                    <w:jc w:val="center"/>
                    <w:rPr>
                      <w:rFonts w:hint="default" w:ascii="Times New Roman" w:hAnsi="Times New Roman" w:cs="Times New Roman"/>
                      <w:sz w:val="21"/>
                      <w:szCs w:val="21"/>
                      <w:lang w:val="en-US" w:eastAsia="zh-CN"/>
                    </w:rPr>
                  </w:pPr>
                </w:p>
              </w:tc>
              <w:tc>
                <w:tcPr>
                  <w:tcW w:w="719" w:type="pct"/>
                  <w:tcBorders>
                    <w:tl2br w:val="nil"/>
                    <w:tr2bl w:val="nil"/>
                  </w:tcBorders>
                  <w:vAlign w:val="center"/>
                </w:tcPr>
                <w:p>
                  <w:pPr>
                    <w:pStyle w:val="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w:t>
                  </w:r>
                </w:p>
              </w:tc>
              <w:tc>
                <w:tcPr>
                  <w:tcW w:w="891"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SS</w:t>
                  </w:r>
                  <w:r>
                    <w:rPr>
                      <w:rFonts w:hint="default" w:ascii="Times New Roman" w:hAnsi="Times New Roman" w:cs="Times New Roman"/>
                      <w:color w:val="auto"/>
                      <w:sz w:val="21"/>
                      <w:szCs w:val="21"/>
                      <w:lang w:val="en-US" w:eastAsia="zh-CN"/>
                    </w:rPr>
                    <w:t>、动植物油、</w:t>
                  </w: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lang w:eastAsia="zh-CN"/>
                    </w:rPr>
                    <w:t>、氨氮</w:t>
                  </w:r>
                </w:p>
              </w:tc>
              <w:tc>
                <w:tcPr>
                  <w:tcW w:w="823"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化粪池</w:t>
                  </w:r>
                </w:p>
              </w:tc>
              <w:tc>
                <w:tcPr>
                  <w:tcW w:w="749" w:type="pct"/>
                  <w:tcBorders>
                    <w:tl2br w:val="nil"/>
                    <w:tr2bl w:val="nil"/>
                  </w:tcBorders>
                  <w:vAlign w:val="center"/>
                </w:tcPr>
                <w:p>
                  <w:pPr>
                    <w:pStyle w:val="2"/>
                    <w:jc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连续</w:t>
                  </w:r>
                </w:p>
              </w:tc>
              <w:tc>
                <w:tcPr>
                  <w:tcW w:w="1402" w:type="pct"/>
                  <w:tcBorders>
                    <w:tl2br w:val="nil"/>
                    <w:tr2bl w:val="nil"/>
                  </w:tcBorders>
                  <w:vAlign w:val="center"/>
                </w:tcPr>
                <w:p>
                  <w:pPr>
                    <w:pStyle w:val="2"/>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云溪污水处理厂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719" w:type="pct"/>
                  <w:tcBorders>
                    <w:tl2br w:val="nil"/>
                    <w:tr2bl w:val="nil"/>
                  </w:tcBorders>
                  <w:vAlign w:val="center"/>
                </w:tcPr>
                <w:p>
                  <w:pPr>
                    <w:pStyle w:val="2"/>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初期雨水</w:t>
                  </w:r>
                </w:p>
              </w:tc>
              <w:tc>
                <w:tcPr>
                  <w:tcW w:w="891"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SS、</w:t>
                  </w:r>
                  <w:r>
                    <w:rPr>
                      <w:rFonts w:hint="eastAsia" w:ascii="Times New Roman" w:hAnsi="Times New Roman" w:cs="Times New Roman"/>
                      <w:color w:val="auto"/>
                      <w:sz w:val="21"/>
                      <w:szCs w:val="21"/>
                      <w:lang w:val="en-US" w:eastAsia="zh-CN"/>
                    </w:rPr>
                    <w:t>石油类</w:t>
                  </w:r>
                  <w:r>
                    <w:rPr>
                      <w:rFonts w:hint="eastAsia" w:cs="Times New Roman"/>
                      <w:color w:val="auto"/>
                      <w:sz w:val="21"/>
                      <w:szCs w:val="21"/>
                      <w:lang w:val="en-US" w:eastAsia="zh-CN"/>
                    </w:rPr>
                    <w:t>等</w:t>
                  </w:r>
                </w:p>
              </w:tc>
              <w:tc>
                <w:tcPr>
                  <w:tcW w:w="823"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隔油</w:t>
                  </w:r>
                  <w:r>
                    <w:rPr>
                      <w:rFonts w:hint="eastAsia" w:cs="Times New Roman"/>
                      <w:color w:val="auto"/>
                      <w:sz w:val="21"/>
                      <w:szCs w:val="21"/>
                      <w:lang w:val="en-US" w:eastAsia="zh-CN"/>
                    </w:rPr>
                    <w:t>池、初期雨水收集池</w:t>
                  </w:r>
                </w:p>
              </w:tc>
              <w:tc>
                <w:tcPr>
                  <w:tcW w:w="749"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402"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回用于槽车清洗</w:t>
                  </w:r>
                </w:p>
              </w:tc>
            </w:tr>
          </w:tbl>
          <w:p>
            <w:pPr>
              <w:pStyle w:val="2"/>
              <w:spacing w:line="360" w:lineRule="auto"/>
              <w:ind w:firstLine="562" w:firstLineChars="200"/>
              <w:rPr>
                <w:rFonts w:hint="eastAsia"/>
                <w:b/>
                <w:bCs/>
                <w:sz w:val="28"/>
                <w:szCs w:val="28"/>
                <w:lang w:val="en-US" w:eastAsia="zh-CN"/>
              </w:rPr>
            </w:pPr>
            <w:r>
              <w:rPr>
                <w:rFonts w:hint="eastAsia"/>
                <w:b/>
                <w:bCs/>
                <w:sz w:val="28"/>
                <w:szCs w:val="28"/>
                <w:lang w:val="en-US" w:eastAsia="zh-CN"/>
              </w:rPr>
              <w:t>二、废气</w:t>
            </w:r>
          </w:p>
          <w:p>
            <w:pPr>
              <w:pStyle w:val="2"/>
              <w:spacing w:line="360" w:lineRule="auto"/>
              <w:ind w:firstLine="560" w:firstLineChars="200"/>
              <w:rPr>
                <w:rFonts w:hint="default"/>
                <w:sz w:val="28"/>
                <w:szCs w:val="28"/>
                <w:lang w:val="en-US" w:eastAsia="zh-CN"/>
              </w:rPr>
            </w:pPr>
            <w:r>
              <w:rPr>
                <w:rFonts w:hint="default"/>
                <w:sz w:val="28"/>
                <w:szCs w:val="28"/>
                <w:lang w:val="en-US" w:eastAsia="zh-CN"/>
              </w:rPr>
              <w:t>本项目废</w:t>
            </w:r>
            <w:r>
              <w:rPr>
                <w:rFonts w:hint="eastAsia"/>
                <w:sz w:val="28"/>
                <w:szCs w:val="28"/>
                <w:lang w:val="en-US" w:eastAsia="zh-CN"/>
              </w:rPr>
              <w:t>气</w:t>
            </w:r>
            <w:r>
              <w:rPr>
                <w:rFonts w:hint="default"/>
                <w:sz w:val="28"/>
                <w:szCs w:val="28"/>
                <w:lang w:val="en-US" w:eastAsia="zh-CN"/>
              </w:rPr>
              <w:t>来源、防治措施、排放情况见下表：</w:t>
            </w:r>
          </w:p>
          <w:p>
            <w:pPr>
              <w:pStyle w:val="2"/>
              <w:spacing w:line="36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废气</w:t>
            </w:r>
            <w:r>
              <w:rPr>
                <w:rFonts w:hint="default" w:ascii="Times New Roman" w:hAnsi="Times New Roman" w:cs="Times New Roman"/>
                <w:b/>
                <w:bCs/>
                <w:sz w:val="24"/>
                <w:szCs w:val="24"/>
                <w:lang w:val="en-US" w:eastAsia="zh-CN"/>
              </w:rPr>
              <w:t>主要污染物产生、防治措施、排放方式一览表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906"/>
              <w:gridCol w:w="2038"/>
              <w:gridCol w:w="1327"/>
              <w:gridCol w:w="2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6"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1098"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污染源</w:t>
                  </w:r>
                </w:p>
              </w:tc>
              <w:tc>
                <w:tcPr>
                  <w:tcW w:w="1174"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污染因子</w:t>
                  </w:r>
                </w:p>
              </w:tc>
              <w:tc>
                <w:tcPr>
                  <w:tcW w:w="764"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防治措施</w:t>
                  </w:r>
                </w:p>
              </w:tc>
              <w:tc>
                <w:tcPr>
                  <w:tcW w:w="1326"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6"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废气</w:t>
                  </w:r>
                </w:p>
              </w:tc>
              <w:tc>
                <w:tcPr>
                  <w:tcW w:w="109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cs="Times New Roman"/>
                      <w:sz w:val="21"/>
                      <w:szCs w:val="21"/>
                      <w:lang w:val="en-US" w:eastAsia="zh-CN"/>
                    </w:rPr>
                    <w:t>运转的</w:t>
                  </w:r>
                  <w:r>
                    <w:rPr>
                      <w:rFonts w:hint="eastAsia" w:ascii="Times New Roman" w:hAnsi="Times New Roman" w:cs="Times New Roman"/>
                      <w:sz w:val="21"/>
                      <w:szCs w:val="21"/>
                      <w:lang w:val="en-US" w:eastAsia="zh-CN"/>
                    </w:rPr>
                    <w:t>汽车</w:t>
                  </w:r>
                </w:p>
              </w:tc>
              <w:tc>
                <w:tcPr>
                  <w:tcW w:w="117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颗粒物、CO、NOx、非甲烷总烃</w:t>
                  </w:r>
                </w:p>
              </w:tc>
              <w:tc>
                <w:tcPr>
                  <w:tcW w:w="76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洒水、通风</w:t>
                  </w:r>
                </w:p>
              </w:tc>
              <w:tc>
                <w:tcPr>
                  <w:tcW w:w="1326"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6"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109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cs="Times New Roman"/>
                      <w:sz w:val="21"/>
                      <w:szCs w:val="21"/>
                      <w:lang w:val="en-US" w:eastAsia="zh-CN"/>
                    </w:rPr>
                    <w:t>维修</w:t>
                  </w:r>
                </w:p>
              </w:tc>
              <w:tc>
                <w:tcPr>
                  <w:tcW w:w="117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6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cs="Times New Roman"/>
                      <w:sz w:val="21"/>
                      <w:szCs w:val="21"/>
                      <w:lang w:val="en-US" w:eastAsia="zh-CN"/>
                    </w:rPr>
                    <w:t>通风</w:t>
                  </w:r>
                </w:p>
              </w:tc>
              <w:tc>
                <w:tcPr>
                  <w:tcW w:w="1326"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6"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109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食堂油烟</w:t>
                  </w:r>
                </w:p>
              </w:tc>
              <w:tc>
                <w:tcPr>
                  <w:tcW w:w="117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油烟</w:t>
                  </w:r>
                </w:p>
              </w:tc>
              <w:tc>
                <w:tcPr>
                  <w:tcW w:w="764"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油烟净化器</w:t>
                  </w:r>
                </w:p>
              </w:tc>
              <w:tc>
                <w:tcPr>
                  <w:tcW w:w="132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屋顶管道排放</w:t>
                  </w:r>
                </w:p>
              </w:tc>
            </w:tr>
          </w:tbl>
          <w:p>
            <w:pPr>
              <w:autoSpaceDE/>
              <w:autoSpaceDN/>
              <w:spacing w:line="360" w:lineRule="auto"/>
              <w:ind w:firstLine="482"/>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三、噪声</w:t>
            </w:r>
          </w:p>
          <w:p>
            <w:pPr>
              <w:autoSpaceDE/>
              <w:autoSpaceDN/>
              <w:spacing w:line="360" w:lineRule="auto"/>
              <w:ind w:firstLine="544"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pacing w:val="-4"/>
                <w:sz w:val="28"/>
                <w:szCs w:val="28"/>
              </w:rPr>
              <w:t>经验收期间现场核查，项目实际生产过程中</w:t>
            </w:r>
            <w:r>
              <w:rPr>
                <w:rFonts w:hint="default" w:ascii="Times New Roman" w:hAnsi="Times New Roman" w:eastAsia="宋体" w:cs="Times New Roman"/>
                <w:color w:val="auto"/>
                <w:kern w:val="0"/>
                <w:sz w:val="28"/>
                <w:szCs w:val="28"/>
                <w:lang w:val="en-US" w:eastAsia="zh-CN" w:bidi="ar"/>
              </w:rPr>
              <w:t>工程运营期间主要噪声源为</w:t>
            </w:r>
            <w:r>
              <w:rPr>
                <w:rFonts w:hint="default" w:ascii="Times New Roman" w:hAnsi="Times New Roman" w:cs="Times New Roman"/>
                <w:color w:val="auto"/>
                <w:sz w:val="28"/>
                <w:szCs w:val="28"/>
                <w:lang w:val="en-US" w:eastAsia="zh-CN"/>
              </w:rPr>
              <w:t>交通噪声</w:t>
            </w:r>
            <w:r>
              <w:rPr>
                <w:rFonts w:hint="eastAsia" w:ascii="Times New Roman" w:hAnsi="Times New Roman" w:cs="Times New Roman"/>
                <w:color w:val="auto"/>
                <w:sz w:val="28"/>
                <w:szCs w:val="28"/>
                <w:lang w:val="en-US" w:eastAsia="zh-CN"/>
              </w:rPr>
              <w:t>和维修区设备噪声</w:t>
            </w:r>
            <w:r>
              <w:rPr>
                <w:rFonts w:hint="default" w:ascii="Times New Roman" w:hAnsi="Times New Roman" w:cs="Times New Roman"/>
                <w:color w:val="auto"/>
                <w:kern w:val="0"/>
                <w:sz w:val="28"/>
                <w:szCs w:val="28"/>
                <w:lang w:val="en-US" w:eastAsia="zh-CN" w:bidi="ar"/>
              </w:rPr>
              <w:t>。</w:t>
            </w:r>
            <w:r>
              <w:rPr>
                <w:rFonts w:hint="default" w:ascii="Times New Roman" w:hAnsi="Times New Roman" w:eastAsia="宋体" w:cs="Times New Roman"/>
                <w:color w:val="auto"/>
                <w:spacing w:val="-4"/>
                <w:sz w:val="28"/>
                <w:szCs w:val="28"/>
              </w:rPr>
              <w:t>具体情况见表</w:t>
            </w:r>
            <w:r>
              <w:rPr>
                <w:rFonts w:hint="eastAsia" w:ascii="Times New Roman" w:hAnsi="Times New Roman" w:cs="Times New Roman"/>
                <w:color w:val="auto"/>
                <w:spacing w:val="-4"/>
                <w:sz w:val="28"/>
                <w:szCs w:val="28"/>
                <w:lang w:val="en-US" w:eastAsia="zh-CN"/>
              </w:rPr>
              <w:t>7</w:t>
            </w:r>
            <w:r>
              <w:rPr>
                <w:rFonts w:hint="default" w:ascii="Times New Roman" w:hAnsi="Times New Roman" w:eastAsia="宋体" w:cs="Times New Roman"/>
                <w:color w:val="auto"/>
                <w:spacing w:val="-4"/>
                <w:sz w:val="28"/>
                <w:szCs w:val="28"/>
              </w:rPr>
              <w:t>。</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噪声</w:t>
            </w:r>
            <w:r>
              <w:rPr>
                <w:rFonts w:hint="default" w:ascii="Times New Roman" w:hAnsi="Times New Roman" w:cs="Times New Roman"/>
                <w:b/>
                <w:bCs/>
                <w:sz w:val="24"/>
                <w:szCs w:val="24"/>
                <w:lang w:val="en-US" w:eastAsia="zh-CN"/>
              </w:rPr>
              <w:t>主要污染物产生、防治措施、排放方式一览表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2394"/>
              <w:gridCol w:w="4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1"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1379"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污染源</w:t>
                  </w:r>
                </w:p>
              </w:tc>
              <w:tc>
                <w:tcPr>
                  <w:tcW w:w="2529"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1"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1379"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eastAsia" w:cs="Times New Roman"/>
                      <w:sz w:val="21"/>
                      <w:szCs w:val="21"/>
                      <w:lang w:val="en-US" w:eastAsia="zh-CN"/>
                    </w:rPr>
                    <w:t>维修</w:t>
                  </w:r>
                  <w:r>
                    <w:rPr>
                      <w:rFonts w:hint="default" w:ascii="Times New Roman" w:hAnsi="Times New Roman" w:cs="Times New Roman"/>
                      <w:sz w:val="21"/>
                      <w:szCs w:val="21"/>
                      <w:lang w:val="en-US" w:eastAsia="zh-CN"/>
                    </w:rPr>
                    <w:t>设备</w:t>
                  </w:r>
                  <w:r>
                    <w:rPr>
                      <w:rFonts w:hint="eastAsia" w:cs="Times New Roman"/>
                      <w:sz w:val="21"/>
                      <w:szCs w:val="21"/>
                      <w:lang w:val="en-US" w:eastAsia="zh-CN"/>
                    </w:rPr>
                    <w:t>、维修过程</w:t>
                  </w:r>
                </w:p>
              </w:tc>
              <w:tc>
                <w:tcPr>
                  <w:tcW w:w="2529"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选用低噪设备</w:t>
                  </w:r>
                  <w:r>
                    <w:rPr>
                      <w:rFonts w:hint="eastAsia" w:cs="Times New Roman"/>
                      <w:color w:val="auto"/>
                      <w:sz w:val="21"/>
                      <w:szCs w:val="21"/>
                      <w:lang w:val="en-US" w:eastAsia="zh-CN"/>
                    </w:rPr>
                    <w:t>、轻拿轻放、严格操作规程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1"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1379"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eastAsia" w:cs="Times New Roman"/>
                      <w:sz w:val="21"/>
                      <w:szCs w:val="21"/>
                      <w:lang w:val="en-US" w:eastAsia="zh-CN"/>
                    </w:rPr>
                    <w:t>交通噪声</w:t>
                  </w:r>
                </w:p>
              </w:tc>
              <w:tc>
                <w:tcPr>
                  <w:tcW w:w="2529"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低速、禁鸣、</w:t>
                  </w:r>
                  <w:r>
                    <w:rPr>
                      <w:rFonts w:hint="eastAsia" w:ascii="Times New Roman" w:hAnsi="Times New Roman" w:cs="Times New Roman"/>
                      <w:color w:val="auto"/>
                      <w:sz w:val="21"/>
                      <w:szCs w:val="21"/>
                      <w:lang w:val="en-US" w:eastAsia="zh-CN"/>
                    </w:rPr>
                    <w:t>文明驾驶</w:t>
                  </w:r>
                </w:p>
              </w:tc>
            </w:tr>
          </w:tbl>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四、固废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rPr>
                <w:rFonts w:hint="default"/>
                <w:sz w:val="28"/>
                <w:szCs w:val="28"/>
                <w:lang w:val="en-US" w:eastAsia="zh-CN"/>
              </w:rPr>
            </w:pPr>
            <w:r>
              <w:rPr>
                <w:rFonts w:hint="default"/>
                <w:sz w:val="28"/>
                <w:szCs w:val="28"/>
                <w:lang w:val="en-US" w:eastAsia="zh-CN"/>
              </w:rPr>
              <w:t>本项目</w:t>
            </w:r>
            <w:r>
              <w:rPr>
                <w:rFonts w:hint="eastAsia"/>
                <w:sz w:val="28"/>
                <w:szCs w:val="28"/>
                <w:lang w:val="en-US" w:eastAsia="zh-CN"/>
              </w:rPr>
              <w:t>固废</w:t>
            </w:r>
            <w:r>
              <w:rPr>
                <w:rFonts w:hint="default"/>
                <w:sz w:val="28"/>
                <w:szCs w:val="28"/>
                <w:lang w:val="en-US" w:eastAsia="zh-CN"/>
              </w:rPr>
              <w:t>来源、防治措施、排放情况见下表：</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cs="Times New Roman"/>
                <w:b/>
                <w:bCs/>
                <w:sz w:val="24"/>
                <w:szCs w:val="24"/>
                <w:lang w:val="en-US" w:eastAsia="zh-CN"/>
              </w:rPr>
              <w:t>8</w:t>
            </w:r>
            <w:r>
              <w:rPr>
                <w:rFonts w:hint="default" w:ascii="Times New Roman" w:hAnsi="Times New Roman" w:cs="Times New Roman"/>
                <w:b/>
                <w:bCs/>
                <w:sz w:val="24"/>
                <w:szCs w:val="24"/>
                <w:lang w:val="en-US" w:eastAsia="zh-CN"/>
              </w:rPr>
              <w:t xml:space="preserve"> 项目</w:t>
            </w:r>
            <w:r>
              <w:rPr>
                <w:rFonts w:hint="eastAsia" w:ascii="Times New Roman" w:hAnsi="Times New Roman" w:cs="Times New Roman"/>
                <w:b/>
                <w:bCs/>
                <w:sz w:val="24"/>
                <w:szCs w:val="24"/>
                <w:lang w:val="en-US" w:eastAsia="zh-CN"/>
              </w:rPr>
              <w:t>固废</w:t>
            </w:r>
            <w:r>
              <w:rPr>
                <w:rFonts w:hint="default" w:ascii="Times New Roman" w:hAnsi="Times New Roman" w:cs="Times New Roman"/>
                <w:b/>
                <w:bCs/>
                <w:sz w:val="24"/>
                <w:szCs w:val="24"/>
                <w:lang w:val="en-US" w:eastAsia="zh-CN"/>
              </w:rPr>
              <w:t>主要污染物产生、防治措施、排放方式一览表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472"/>
              <w:gridCol w:w="2170"/>
              <w:gridCol w:w="4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848"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污染源</w:t>
                  </w:r>
                </w:p>
              </w:tc>
              <w:tc>
                <w:tcPr>
                  <w:tcW w:w="1250"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环评要求排放方式</w:t>
                  </w:r>
                </w:p>
              </w:tc>
              <w:tc>
                <w:tcPr>
                  <w:tcW w:w="2423" w:type="pct"/>
                  <w:tcBorders>
                    <w:tl2br w:val="nil"/>
                    <w:tr2bl w:val="nil"/>
                  </w:tcBorders>
                  <w:vAlign w:val="center"/>
                </w:tcPr>
                <w:p>
                  <w:pPr>
                    <w:pStyle w:val="2"/>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实际</w:t>
                  </w:r>
                  <w:r>
                    <w:rPr>
                      <w:rFonts w:hint="default" w:ascii="Times New Roman" w:hAnsi="Times New Roman" w:cs="Times New Roman"/>
                      <w:b/>
                      <w:bCs/>
                      <w:sz w:val="21"/>
                      <w:szCs w:val="21"/>
                      <w:lang w:val="en-US" w:eastAsia="zh-CN"/>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w:t>
                  </w:r>
                </w:p>
              </w:tc>
              <w:tc>
                <w:tcPr>
                  <w:tcW w:w="84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p>
              </w:tc>
              <w:tc>
                <w:tcPr>
                  <w:tcW w:w="125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2423" w:type="pc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4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包装废弃物</w:t>
                  </w:r>
                </w:p>
              </w:tc>
              <w:tc>
                <w:tcPr>
                  <w:tcW w:w="125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收集后出售</w:t>
                  </w:r>
                </w:p>
              </w:tc>
              <w:tc>
                <w:tcPr>
                  <w:tcW w:w="2423"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sz w:val="21"/>
                      <w:szCs w:val="21"/>
                      <w:lang w:val="en-US" w:eastAsia="zh-CN"/>
                    </w:rPr>
                    <w:t>收集后出售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48"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废轮胎</w:t>
                  </w:r>
                </w:p>
              </w:tc>
              <w:tc>
                <w:tcPr>
                  <w:tcW w:w="125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收集后出售</w:t>
                  </w:r>
                </w:p>
              </w:tc>
              <w:tc>
                <w:tcPr>
                  <w:tcW w:w="2423"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sz w:val="21"/>
                      <w:szCs w:val="21"/>
                      <w:lang w:val="en-US" w:eastAsia="zh-CN"/>
                    </w:rPr>
                    <w:t>收集后出售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8"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48"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废机油和</w:t>
                  </w:r>
                  <w:r>
                    <w:rPr>
                      <w:rFonts w:hint="eastAsia" w:cs="Times New Roman"/>
                      <w:color w:val="auto"/>
                      <w:sz w:val="21"/>
                      <w:szCs w:val="21"/>
                      <w:lang w:val="en-US" w:eastAsia="zh-CN"/>
                    </w:rPr>
                    <w:t>隔油池渣</w:t>
                  </w:r>
                </w:p>
              </w:tc>
              <w:tc>
                <w:tcPr>
                  <w:tcW w:w="1250" w:type="pct"/>
                  <w:tcBorders>
                    <w:tl2br w:val="nil"/>
                    <w:tr2bl w:val="nil"/>
                  </w:tcBorders>
                  <w:vAlign w:val="center"/>
                </w:tcPr>
                <w:p>
                  <w:pPr>
                    <w:pStyle w:val="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委托有资质单进行处理</w:t>
                  </w:r>
                </w:p>
              </w:tc>
              <w:tc>
                <w:tcPr>
                  <w:tcW w:w="2423"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sz w:val="21"/>
                      <w:szCs w:val="21"/>
                      <w:lang w:val="en-US" w:eastAsia="zh-CN"/>
                    </w:rPr>
                    <w:t>委托湖南双强环保科技有限公司进行处理</w:t>
                  </w:r>
                </w:p>
              </w:tc>
            </w:tr>
          </w:tbl>
          <w:p>
            <w:pPr>
              <w:pStyle w:val="2"/>
              <w:spacing w:line="360" w:lineRule="auto"/>
              <w:jc w:val="both"/>
              <w:rPr>
                <w:rFonts w:hint="default"/>
                <w:sz w:val="28"/>
                <w:szCs w:val="28"/>
                <w:lang w:val="en-US" w:eastAsia="zh-CN"/>
              </w:rPr>
            </w:pPr>
            <w:r>
              <w:rPr>
                <w:rFonts w:hint="eastAsia"/>
                <w:sz w:val="28"/>
                <w:szCs w:val="28"/>
                <w:lang w:val="en-US" w:eastAsia="zh-CN"/>
              </w:rPr>
              <w:t>主要环保设施现场照片如下：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6"/>
              <w:gridCol w:w="4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trPr>
              <w:tc>
                <w:tcPr>
                  <w:tcW w:w="4326" w:type="dxa"/>
                </w:tcPr>
                <w:p>
                  <w:pPr>
                    <w:pStyle w:val="2"/>
                    <w:jc w:val="center"/>
                    <w:rPr>
                      <w:rFonts w:hint="default"/>
                      <w:vertAlign w:val="baseline"/>
                      <w:lang w:val="en-US" w:eastAsia="zh-CN"/>
                    </w:rPr>
                  </w:pPr>
                  <w:r>
                    <w:rPr>
                      <w:rFonts w:hint="default"/>
                      <w:vertAlign w:val="baseline"/>
                      <w:lang w:val="en-US" w:eastAsia="zh-CN"/>
                    </w:rPr>
                    <w:drawing>
                      <wp:inline distT="0" distB="0" distL="114300" distR="114300">
                        <wp:extent cx="2365375" cy="1742440"/>
                        <wp:effectExtent l="0" t="0" r="15875" b="10160"/>
                        <wp:docPr id="3" name="图片 3" descr="0a4adf3cb47a3b6cac8750f3170e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a4adf3cb47a3b6cac8750f3170ef78"/>
                                <pic:cNvPicPr>
                                  <a:picLocks noChangeAspect="1"/>
                                </pic:cNvPicPr>
                              </pic:nvPicPr>
                              <pic:blipFill>
                                <a:blip r:embed="rId18"/>
                                <a:stretch>
                                  <a:fillRect/>
                                </a:stretch>
                              </pic:blipFill>
                              <pic:spPr>
                                <a:xfrm>
                                  <a:off x="0" y="0"/>
                                  <a:ext cx="2365375" cy="1742440"/>
                                </a:xfrm>
                                <a:prstGeom prst="rect">
                                  <a:avLst/>
                                </a:prstGeom>
                              </pic:spPr>
                            </pic:pic>
                          </a:graphicData>
                        </a:graphic>
                      </wp:inline>
                    </w:drawing>
                  </w:r>
                </w:p>
              </w:tc>
              <w:tc>
                <w:tcPr>
                  <w:tcW w:w="4296" w:type="dxa"/>
                </w:tcPr>
                <w:p>
                  <w:pPr>
                    <w:pStyle w:val="2"/>
                    <w:jc w:val="center"/>
                    <w:rPr>
                      <w:rFonts w:hint="default"/>
                      <w:vertAlign w:val="baseline"/>
                      <w:lang w:val="en-US" w:eastAsia="zh-CN"/>
                    </w:rPr>
                  </w:pPr>
                  <w:r>
                    <w:rPr>
                      <w:rFonts w:hint="default"/>
                      <w:vertAlign w:val="baseline"/>
                      <w:lang w:val="en-US" w:eastAsia="zh-CN"/>
                    </w:rPr>
                    <w:drawing>
                      <wp:inline distT="0" distB="0" distL="114300" distR="114300">
                        <wp:extent cx="2362200" cy="1700530"/>
                        <wp:effectExtent l="0" t="0" r="0" b="13970"/>
                        <wp:docPr id="4" name="图片 4" descr="eea7b04847be13442a103bf0704e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ea7b04847be13442a103bf0704edf2"/>
                                <pic:cNvPicPr>
                                  <a:picLocks noChangeAspect="1"/>
                                </pic:cNvPicPr>
                              </pic:nvPicPr>
                              <pic:blipFill>
                                <a:blip r:embed="rId19"/>
                                <a:stretch>
                                  <a:fillRect/>
                                </a:stretch>
                              </pic:blipFill>
                              <pic:spPr>
                                <a:xfrm>
                                  <a:off x="0" y="0"/>
                                  <a:ext cx="2362200" cy="1700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326" w:type="dxa"/>
                </w:tcPr>
                <w:p>
                  <w:pPr>
                    <w:pStyle w:val="2"/>
                    <w:jc w:val="center"/>
                    <w:rPr>
                      <w:rFonts w:hint="default"/>
                      <w:vertAlign w:val="baseline"/>
                      <w:lang w:val="en-US" w:eastAsia="zh-CN"/>
                    </w:rPr>
                  </w:pPr>
                  <w:r>
                    <w:rPr>
                      <w:rFonts w:hint="eastAsia"/>
                      <w:vertAlign w:val="baseline"/>
                      <w:lang w:val="en-US" w:eastAsia="zh-CN"/>
                    </w:rPr>
                    <w:t>初期雨水池</w:t>
                  </w:r>
                </w:p>
              </w:tc>
              <w:tc>
                <w:tcPr>
                  <w:tcW w:w="4296" w:type="dxa"/>
                </w:tcPr>
                <w:p>
                  <w:pPr>
                    <w:pStyle w:val="2"/>
                    <w:jc w:val="center"/>
                    <w:rPr>
                      <w:rFonts w:hint="default"/>
                      <w:vertAlign w:val="baseline"/>
                      <w:lang w:val="en-US" w:eastAsia="zh-CN"/>
                    </w:rPr>
                  </w:pPr>
                  <w:r>
                    <w:rPr>
                      <w:rFonts w:hint="eastAsia"/>
                      <w:vertAlign w:val="baseline"/>
                      <w:lang w:val="en-US" w:eastAsia="zh-CN"/>
                    </w:rPr>
                    <w:t>隔油设施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4326" w:type="dxa"/>
                </w:tcPr>
                <w:p>
                  <w:pPr>
                    <w:pStyle w:val="2"/>
                    <w:jc w:val="center"/>
                    <w:rPr>
                      <w:rFonts w:hint="default"/>
                      <w:vertAlign w:val="baseline"/>
                      <w:lang w:val="en-US" w:eastAsia="zh-CN"/>
                    </w:rPr>
                  </w:pPr>
                  <w:r>
                    <w:rPr>
                      <w:rFonts w:hint="eastAsia"/>
                      <w:vertAlign w:val="baseline"/>
                      <w:lang w:val="en-US" w:eastAsia="zh-CN"/>
                    </w:rPr>
                    <w:drawing>
                      <wp:inline distT="0" distB="0" distL="114300" distR="114300">
                        <wp:extent cx="2602865" cy="1680210"/>
                        <wp:effectExtent l="0" t="0" r="6985" b="15240"/>
                        <wp:docPr id="11" name="图片 11" descr="eb23f797a32370d6579253ede3f5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b23f797a32370d6579253ede3f5a07"/>
                                <pic:cNvPicPr>
                                  <a:picLocks noChangeAspect="1"/>
                                </pic:cNvPicPr>
                              </pic:nvPicPr>
                              <pic:blipFill>
                                <a:blip r:embed="rId20"/>
                                <a:stretch>
                                  <a:fillRect/>
                                </a:stretch>
                              </pic:blipFill>
                              <pic:spPr>
                                <a:xfrm>
                                  <a:off x="0" y="0"/>
                                  <a:ext cx="2602865" cy="1680210"/>
                                </a:xfrm>
                                <a:prstGeom prst="rect">
                                  <a:avLst/>
                                </a:prstGeom>
                              </pic:spPr>
                            </pic:pic>
                          </a:graphicData>
                        </a:graphic>
                      </wp:inline>
                    </w:drawing>
                  </w:r>
                </w:p>
              </w:tc>
              <w:tc>
                <w:tcPr>
                  <w:tcW w:w="4296" w:type="dxa"/>
                </w:tcPr>
                <w:p>
                  <w:pPr>
                    <w:pStyle w:val="2"/>
                    <w:jc w:val="center"/>
                    <w:rPr>
                      <w:rFonts w:hint="default"/>
                      <w:vertAlign w:val="baseline"/>
                      <w:lang w:val="en-US" w:eastAsia="zh-CN"/>
                    </w:rPr>
                  </w:pPr>
                  <w:r>
                    <w:rPr>
                      <w:rFonts w:hint="eastAsia"/>
                      <w:vertAlign w:val="baseline"/>
                      <w:lang w:val="en-US" w:eastAsia="zh-CN"/>
                    </w:rPr>
                    <w:drawing>
                      <wp:inline distT="0" distB="0" distL="114300" distR="114300">
                        <wp:extent cx="2439035" cy="1564640"/>
                        <wp:effectExtent l="0" t="0" r="18415" b="16510"/>
                        <wp:docPr id="5" name="图片 5" descr="IMG_20201027_15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1027_151716"/>
                                <pic:cNvPicPr>
                                  <a:picLocks noChangeAspect="1"/>
                                </pic:cNvPicPr>
                              </pic:nvPicPr>
                              <pic:blipFill>
                                <a:blip r:embed="rId21"/>
                                <a:stretch>
                                  <a:fillRect/>
                                </a:stretch>
                              </pic:blipFill>
                              <pic:spPr>
                                <a:xfrm>
                                  <a:off x="0" y="0"/>
                                  <a:ext cx="2439035" cy="1564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326" w:type="dxa"/>
                  <w:vAlign w:val="top"/>
                </w:tcPr>
                <w:p>
                  <w:pPr>
                    <w:pStyle w:val="2"/>
                    <w:jc w:val="center"/>
                    <w:rPr>
                      <w:rFonts w:hint="default"/>
                      <w:vertAlign w:val="baseline"/>
                      <w:lang w:val="en-US" w:eastAsia="zh-CN"/>
                    </w:rPr>
                  </w:pPr>
                  <w:r>
                    <w:rPr>
                      <w:rFonts w:hint="eastAsia"/>
                      <w:vertAlign w:val="baseline"/>
                      <w:lang w:val="en-US" w:eastAsia="zh-CN"/>
                    </w:rPr>
                    <w:t>事故应急池</w:t>
                  </w:r>
                </w:p>
              </w:tc>
              <w:tc>
                <w:tcPr>
                  <w:tcW w:w="4296" w:type="dxa"/>
                  <w:vAlign w:val="top"/>
                </w:tcPr>
                <w:p>
                  <w:pPr>
                    <w:pStyle w:val="2"/>
                    <w:jc w:val="center"/>
                    <w:rPr>
                      <w:rFonts w:hint="default"/>
                      <w:vertAlign w:val="baseline"/>
                      <w:lang w:val="en-US" w:eastAsia="zh-CN"/>
                    </w:rPr>
                  </w:pPr>
                  <w:r>
                    <w:rPr>
                      <w:rFonts w:hint="eastAsia"/>
                      <w:vertAlign w:val="baseline"/>
                      <w:lang w:val="en-US" w:eastAsia="zh-CN"/>
                    </w:rPr>
                    <w:t>项目初期雨水收集围挡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4" w:hRule="atLeast"/>
              </w:trPr>
              <w:tc>
                <w:tcPr>
                  <w:tcW w:w="4326" w:type="dxa"/>
                </w:tcPr>
                <w:p>
                  <w:pPr>
                    <w:pStyle w:val="2"/>
                    <w:jc w:val="center"/>
                    <w:rPr>
                      <w:rFonts w:hint="default"/>
                      <w:vertAlign w:val="baseline"/>
                      <w:lang w:val="en-US" w:eastAsia="zh-CN"/>
                    </w:rPr>
                  </w:pPr>
                  <w:r>
                    <w:rPr>
                      <w:rFonts w:hint="eastAsia"/>
                      <w:vertAlign w:val="baseline"/>
                      <w:lang w:val="en-US" w:eastAsia="zh-CN"/>
                    </w:rPr>
                    <w:drawing>
                      <wp:inline distT="0" distB="0" distL="114300" distR="114300">
                        <wp:extent cx="2054860" cy="1428750"/>
                        <wp:effectExtent l="0" t="0" r="2540" b="0"/>
                        <wp:docPr id="6" name="图片 6" descr="IMG_20201027_15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1027_151619"/>
                                <pic:cNvPicPr>
                                  <a:picLocks noChangeAspect="1"/>
                                </pic:cNvPicPr>
                              </pic:nvPicPr>
                              <pic:blipFill>
                                <a:blip r:embed="rId22"/>
                                <a:stretch>
                                  <a:fillRect/>
                                </a:stretch>
                              </pic:blipFill>
                              <pic:spPr>
                                <a:xfrm>
                                  <a:off x="0" y="0"/>
                                  <a:ext cx="2054860" cy="1428750"/>
                                </a:xfrm>
                                <a:prstGeom prst="rect">
                                  <a:avLst/>
                                </a:prstGeom>
                              </pic:spPr>
                            </pic:pic>
                          </a:graphicData>
                        </a:graphic>
                      </wp:inline>
                    </w:drawing>
                  </w:r>
                </w:p>
              </w:tc>
              <w:tc>
                <w:tcPr>
                  <w:tcW w:w="4296" w:type="dxa"/>
                </w:tcPr>
                <w:p>
                  <w:pPr>
                    <w:pStyle w:val="2"/>
                    <w:jc w:val="center"/>
                    <w:rPr>
                      <w:rFonts w:hint="default"/>
                      <w:vertAlign w:val="baseline"/>
                      <w:lang w:val="en-US" w:eastAsia="zh-CN"/>
                    </w:rPr>
                  </w:pPr>
                  <w:r>
                    <w:rPr>
                      <w:rFonts w:hint="default"/>
                      <w:vertAlign w:val="baseline"/>
                      <w:lang w:val="en-US" w:eastAsia="zh-CN"/>
                    </w:rPr>
                    <w:drawing>
                      <wp:inline distT="0" distB="0" distL="114300" distR="114300">
                        <wp:extent cx="2461260" cy="1541145"/>
                        <wp:effectExtent l="0" t="0" r="15240" b="1905"/>
                        <wp:docPr id="7" name="图片 7" descr="IMG_20201027_15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1027_151224"/>
                                <pic:cNvPicPr>
                                  <a:picLocks noChangeAspect="1"/>
                                </pic:cNvPicPr>
                              </pic:nvPicPr>
                              <pic:blipFill>
                                <a:blip r:embed="rId23"/>
                                <a:stretch>
                                  <a:fillRect/>
                                </a:stretch>
                              </pic:blipFill>
                              <pic:spPr>
                                <a:xfrm>
                                  <a:off x="0" y="0"/>
                                  <a:ext cx="2461260" cy="1541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26" w:type="dxa"/>
                </w:tcPr>
                <w:p>
                  <w:pPr>
                    <w:pStyle w:val="2"/>
                    <w:jc w:val="center"/>
                    <w:rPr>
                      <w:rFonts w:hint="default"/>
                      <w:vertAlign w:val="baseline"/>
                      <w:lang w:val="en-US" w:eastAsia="zh-CN"/>
                    </w:rPr>
                  </w:pPr>
                  <w:r>
                    <w:rPr>
                      <w:rFonts w:hint="eastAsia"/>
                      <w:vertAlign w:val="baseline"/>
                      <w:lang w:val="en-US" w:eastAsia="zh-CN"/>
                    </w:rPr>
                    <w:t>项目初期雨水收集井</w:t>
                  </w:r>
                </w:p>
              </w:tc>
              <w:tc>
                <w:tcPr>
                  <w:tcW w:w="4296" w:type="dxa"/>
                </w:tcPr>
                <w:p>
                  <w:pPr>
                    <w:pStyle w:val="2"/>
                    <w:jc w:val="center"/>
                    <w:rPr>
                      <w:rFonts w:hint="default"/>
                      <w:vertAlign w:val="baseline"/>
                      <w:lang w:val="en-US" w:eastAsia="zh-CN"/>
                    </w:rPr>
                  </w:pPr>
                  <w:r>
                    <w:rPr>
                      <w:rFonts w:hint="eastAsia"/>
                      <w:vertAlign w:val="baseline"/>
                      <w:lang w:val="en-US" w:eastAsia="zh-CN"/>
                    </w:rPr>
                    <w:t>厂区生活污水排放口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26" w:type="dxa"/>
                </w:tcPr>
                <w:p>
                  <w:pPr>
                    <w:pStyle w:val="2"/>
                    <w:jc w:val="center"/>
                    <w:rPr>
                      <w:rFonts w:hint="eastAsia"/>
                      <w:vertAlign w:val="baseline"/>
                      <w:lang w:val="en-US" w:eastAsia="zh-CN"/>
                    </w:rPr>
                  </w:pPr>
                  <w:r>
                    <w:rPr>
                      <w:rFonts w:hint="default"/>
                      <w:vertAlign w:val="baseline"/>
                      <w:lang w:val="en-US" w:eastAsia="zh-CN"/>
                    </w:rPr>
                    <w:drawing>
                      <wp:inline distT="0" distB="0" distL="114300" distR="114300">
                        <wp:extent cx="2216150" cy="1700530"/>
                        <wp:effectExtent l="0" t="0" r="12700" b="13970"/>
                        <wp:docPr id="8" name="图片 8" descr="IMG_20200908_1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908_111317"/>
                                <pic:cNvPicPr>
                                  <a:picLocks noChangeAspect="1"/>
                                </pic:cNvPicPr>
                              </pic:nvPicPr>
                              <pic:blipFill>
                                <a:blip r:embed="rId24"/>
                                <a:stretch>
                                  <a:fillRect/>
                                </a:stretch>
                              </pic:blipFill>
                              <pic:spPr>
                                <a:xfrm>
                                  <a:off x="0" y="0"/>
                                  <a:ext cx="2216150" cy="1700530"/>
                                </a:xfrm>
                                <a:prstGeom prst="rect">
                                  <a:avLst/>
                                </a:prstGeom>
                              </pic:spPr>
                            </pic:pic>
                          </a:graphicData>
                        </a:graphic>
                      </wp:inline>
                    </w:drawing>
                  </w:r>
                </w:p>
              </w:tc>
              <w:tc>
                <w:tcPr>
                  <w:tcW w:w="4296" w:type="dxa"/>
                </w:tcPr>
                <w:p>
                  <w:pPr>
                    <w:pStyle w:val="2"/>
                    <w:jc w:val="center"/>
                    <w:rPr>
                      <w:rFonts w:hint="eastAsia"/>
                      <w:vertAlign w:val="baseline"/>
                      <w:lang w:val="en-US" w:eastAsia="zh-CN"/>
                    </w:rPr>
                  </w:pPr>
                  <w:r>
                    <w:rPr>
                      <w:rFonts w:hint="eastAsia"/>
                      <w:vertAlign w:val="baseline"/>
                      <w:lang w:val="en-US" w:eastAsia="zh-CN"/>
                    </w:rPr>
                    <w:drawing>
                      <wp:inline distT="0" distB="0" distL="114300" distR="114300">
                        <wp:extent cx="2439035" cy="1786255"/>
                        <wp:effectExtent l="0" t="0" r="18415" b="4445"/>
                        <wp:docPr id="13" name="图片 13" descr="f2a0a9f124a446ccb30997df9a8e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a0a9f124a446ccb30997df9a8e0ff"/>
                                <pic:cNvPicPr>
                                  <a:picLocks noChangeAspect="1"/>
                                </pic:cNvPicPr>
                              </pic:nvPicPr>
                              <pic:blipFill>
                                <a:blip r:embed="rId25"/>
                                <a:stretch>
                                  <a:fillRect/>
                                </a:stretch>
                              </pic:blipFill>
                              <pic:spPr>
                                <a:xfrm>
                                  <a:off x="0" y="0"/>
                                  <a:ext cx="2439035" cy="1786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26" w:type="dxa"/>
                </w:tcPr>
                <w:p>
                  <w:pPr>
                    <w:pStyle w:val="2"/>
                    <w:jc w:val="center"/>
                    <w:rPr>
                      <w:rFonts w:hint="default"/>
                      <w:vertAlign w:val="baseline"/>
                      <w:lang w:val="en-US" w:eastAsia="zh-CN"/>
                    </w:rPr>
                  </w:pPr>
                  <w:r>
                    <w:rPr>
                      <w:rFonts w:hint="eastAsia"/>
                      <w:vertAlign w:val="baseline"/>
                      <w:lang w:val="en-US" w:eastAsia="zh-CN"/>
                    </w:rPr>
                    <w:t>城市污水管道接入口</w:t>
                  </w:r>
                </w:p>
              </w:tc>
              <w:tc>
                <w:tcPr>
                  <w:tcW w:w="4296" w:type="dxa"/>
                </w:tcPr>
                <w:p>
                  <w:pPr>
                    <w:pStyle w:val="2"/>
                    <w:jc w:val="center"/>
                    <w:rPr>
                      <w:rFonts w:hint="default"/>
                      <w:vertAlign w:val="baseline"/>
                      <w:lang w:val="en-US" w:eastAsia="zh-CN"/>
                    </w:rPr>
                  </w:pPr>
                  <w:r>
                    <w:rPr>
                      <w:rFonts w:hint="eastAsia"/>
                      <w:vertAlign w:val="baseline"/>
                      <w:lang w:val="en-US" w:eastAsia="zh-CN"/>
                    </w:rPr>
                    <w:t>食堂油烟处理排放设施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26" w:type="dxa"/>
                </w:tcPr>
                <w:p>
                  <w:pPr>
                    <w:pStyle w:val="2"/>
                    <w:jc w:val="center"/>
                    <w:rPr>
                      <w:rFonts w:hint="eastAsia"/>
                      <w:vertAlign w:val="baseline"/>
                      <w:lang w:val="en-US" w:eastAsia="zh-CN"/>
                    </w:rPr>
                  </w:pPr>
                  <w:r>
                    <w:rPr>
                      <w:rFonts w:hint="default" w:ascii="Times New Roman" w:hAnsi="Times New Roman" w:cs="Times New Roman"/>
                      <w:b/>
                      <w:bCs/>
                      <w:sz w:val="24"/>
                      <w:szCs w:val="24"/>
                      <w:vertAlign w:val="baseline"/>
                      <w:lang w:val="en-US" w:eastAsia="zh-CN"/>
                    </w:rPr>
                    <w:drawing>
                      <wp:inline distT="0" distB="0" distL="114300" distR="114300">
                        <wp:extent cx="2099945" cy="1847850"/>
                        <wp:effectExtent l="0" t="0" r="14605" b="0"/>
                        <wp:docPr id="10" name="图片 10" descr="IMG_20201027_15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027_151310"/>
                                <pic:cNvPicPr>
                                  <a:picLocks noChangeAspect="1"/>
                                </pic:cNvPicPr>
                              </pic:nvPicPr>
                              <pic:blipFill>
                                <a:blip r:embed="rId26"/>
                                <a:stretch>
                                  <a:fillRect/>
                                </a:stretch>
                              </pic:blipFill>
                              <pic:spPr>
                                <a:xfrm>
                                  <a:off x="0" y="0"/>
                                  <a:ext cx="2099945" cy="1847850"/>
                                </a:xfrm>
                                <a:prstGeom prst="rect">
                                  <a:avLst/>
                                </a:prstGeom>
                              </pic:spPr>
                            </pic:pic>
                          </a:graphicData>
                        </a:graphic>
                      </wp:inline>
                    </w:drawing>
                  </w:r>
                </w:p>
              </w:tc>
              <w:tc>
                <w:tcPr>
                  <w:tcW w:w="4296" w:type="dxa"/>
                </w:tcPr>
                <w:p>
                  <w:pPr>
                    <w:pStyle w:val="2"/>
                    <w:jc w:val="center"/>
                    <w:rPr>
                      <w:rFonts w:hint="eastAsia"/>
                      <w:vertAlign w:val="baseline"/>
                      <w:lang w:val="en-US" w:eastAsia="zh-CN"/>
                    </w:rPr>
                  </w:pPr>
                  <w:r>
                    <w:rPr>
                      <w:rFonts w:hint="default"/>
                      <w:vertAlign w:val="baseline"/>
                      <w:lang w:val="en-US" w:eastAsia="zh-CN"/>
                    </w:rPr>
                    <w:drawing>
                      <wp:inline distT="0" distB="0" distL="114300" distR="114300">
                        <wp:extent cx="2077085" cy="1932940"/>
                        <wp:effectExtent l="0" t="0" r="18415" b="10160"/>
                        <wp:docPr id="9" name="图片 9" descr="4c799509873167385614fb7d3a93e4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c799509873167385614fb7d3a93e485_"/>
                                <pic:cNvPicPr>
                                  <a:picLocks noChangeAspect="1"/>
                                </pic:cNvPicPr>
                              </pic:nvPicPr>
                              <pic:blipFill>
                                <a:blip r:embed="rId27"/>
                                <a:stretch>
                                  <a:fillRect/>
                                </a:stretch>
                              </pic:blipFill>
                              <pic:spPr>
                                <a:xfrm>
                                  <a:off x="0" y="0"/>
                                  <a:ext cx="2077085" cy="1932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26" w:type="dxa"/>
                </w:tcPr>
                <w:p>
                  <w:pPr>
                    <w:pStyle w:val="2"/>
                    <w:jc w:val="center"/>
                    <w:rPr>
                      <w:rFonts w:hint="eastAsia"/>
                      <w:vertAlign w:val="baseline"/>
                      <w:lang w:val="en-US" w:eastAsia="zh-CN"/>
                    </w:rPr>
                  </w:pPr>
                  <w:r>
                    <w:rPr>
                      <w:rFonts w:hint="eastAsia"/>
                      <w:vertAlign w:val="baseline"/>
                      <w:lang w:val="en-US" w:eastAsia="zh-CN"/>
                    </w:rPr>
                    <w:t>食堂油烟处理排放设施</w:t>
                  </w:r>
                </w:p>
              </w:tc>
              <w:tc>
                <w:tcPr>
                  <w:tcW w:w="4296" w:type="dxa"/>
                </w:tcPr>
                <w:p>
                  <w:pPr>
                    <w:pStyle w:val="2"/>
                    <w:jc w:val="center"/>
                    <w:rPr>
                      <w:rFonts w:hint="eastAsia"/>
                      <w:vertAlign w:val="baseline"/>
                      <w:lang w:val="en-US" w:eastAsia="zh-CN"/>
                    </w:rPr>
                  </w:pPr>
                  <w:r>
                    <w:rPr>
                      <w:rFonts w:hint="eastAsia"/>
                      <w:vertAlign w:val="baseline"/>
                      <w:lang w:val="en-US" w:eastAsia="zh-CN"/>
                    </w:rPr>
                    <w:t>危废暂存间</w:t>
                  </w:r>
                </w:p>
              </w:tc>
            </w:tr>
          </w:tbl>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p>
          <w:p>
            <w:pPr>
              <w:pStyle w:val="2"/>
              <w:spacing w:line="360" w:lineRule="auto"/>
              <w:rPr>
                <w:rFonts w:hint="default"/>
                <w:sz w:val="28"/>
                <w:szCs w:val="28"/>
                <w:lang w:val="en-US" w:eastAsia="zh-CN"/>
              </w:rPr>
            </w:pPr>
            <w:r>
              <w:rPr>
                <w:rFonts w:hint="default"/>
                <w:sz w:val="28"/>
                <w:szCs w:val="28"/>
                <w:lang w:val="en-US" w:eastAsia="zh-CN"/>
              </w:rPr>
              <w:t>废水、废气、噪声监测点位示意图：</w:t>
            </w:r>
          </w:p>
          <w:p>
            <w:pPr>
              <w:pStyle w:val="2"/>
            </w:pPr>
            <w:r>
              <w:drawing>
                <wp:anchor distT="0" distB="0" distL="114935" distR="114935" simplePos="0" relativeHeight="251660288" behindDoc="0" locked="0" layoutInCell="1" allowOverlap="1">
                  <wp:simplePos x="0" y="0"/>
                  <wp:positionH relativeFrom="column">
                    <wp:posOffset>-31750</wp:posOffset>
                  </wp:positionH>
                  <wp:positionV relativeFrom="paragraph">
                    <wp:posOffset>111125</wp:posOffset>
                  </wp:positionV>
                  <wp:extent cx="5579745" cy="3714750"/>
                  <wp:effectExtent l="0" t="0" r="190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5579745" cy="3714750"/>
                          </a:xfrm>
                          <a:prstGeom prst="rect">
                            <a:avLst/>
                          </a:prstGeom>
                          <a:noFill/>
                          <a:ln>
                            <a:noFill/>
                          </a:ln>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spacing w:line="386" w:lineRule="exact"/>
              <w:ind w:firstLine="420"/>
              <w:jc w:val="center"/>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pStyle w:val="2"/>
              <w:rPr>
                <w:rFonts w:hint="eastAsia" w:ascii="宋体" w:hAnsi="宋体" w:eastAsia="宋体" w:cs="宋体"/>
                <w:b/>
                <w:bCs/>
                <w:sz w:val="24"/>
                <w:szCs w:val="24"/>
                <w:lang w:eastAsia="zh-CN"/>
              </w:rPr>
            </w:pPr>
          </w:p>
          <w:p>
            <w:pPr>
              <w:spacing w:line="386" w:lineRule="exact"/>
              <w:ind w:firstLine="420"/>
              <w:jc w:val="center"/>
              <w:rPr>
                <w:rFonts w:hint="default"/>
                <w:lang w:val="en-US" w:eastAsia="zh-CN"/>
              </w:rPr>
            </w:pPr>
            <w:r>
              <w:rPr>
                <w:rFonts w:hint="default" w:ascii="Times New Roman" w:hAnsi="Times New Roman" w:eastAsia="宋体" w:cs="Times New Roman"/>
                <w:b/>
                <w:bCs/>
                <w:sz w:val="24"/>
                <w:szCs w:val="24"/>
                <w:lang w:eastAsia="zh-CN"/>
              </w:rPr>
              <w:t>图</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 xml:space="preserve"> 项目监测点位示意图</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建设项目的性质、规模、地点、生产工艺和环境保护措施五个因素中的一项或一项以上发生可能导致重大变动的情况，且可能导致环境影响显著变化(特别是不利环境影响加重)的，界定为重大变动。</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本</w:t>
            </w:r>
            <w:r>
              <w:rPr>
                <w:rFonts w:hint="default" w:ascii="Times New Roman" w:hAnsi="Times New Roman" w:eastAsia="宋体" w:cs="Times New Roman"/>
                <w:sz w:val="28"/>
                <w:szCs w:val="28"/>
                <w:lang w:val="en-US" w:eastAsia="zh-CN"/>
              </w:rPr>
              <w:t>项目变更情况：</w:t>
            </w:r>
          </w:p>
          <w:p>
            <w:pPr>
              <w:pStyle w:val="2"/>
              <w:jc w:val="center"/>
              <w:rPr>
                <w:rFonts w:hint="default"/>
                <w:b/>
                <w:bCs/>
                <w:lang w:val="en-US" w:eastAsia="zh-CN"/>
              </w:rPr>
            </w:pPr>
            <w:r>
              <w:rPr>
                <w:rFonts w:hint="eastAsia" w:ascii="Times New Roman" w:hAnsi="Times New Roman" w:cs="Times New Roman"/>
                <w:b/>
                <w:bCs/>
                <w:sz w:val="24"/>
                <w:szCs w:val="24"/>
                <w:lang w:val="en-US" w:eastAsia="zh-CN"/>
              </w:rPr>
              <w:t>表</w:t>
            </w:r>
            <w:r>
              <w:rPr>
                <w:rFonts w:hint="eastAsia" w:cs="Times New Roman"/>
                <w:b/>
                <w:bCs/>
                <w:sz w:val="24"/>
                <w:szCs w:val="24"/>
                <w:lang w:val="en-US" w:eastAsia="zh-CN"/>
              </w:rPr>
              <w:t>9</w:t>
            </w:r>
            <w:r>
              <w:rPr>
                <w:rFonts w:hint="eastAsia" w:ascii="Times New Roman" w:hAnsi="Times New Roman" w:cs="Times New Roman"/>
                <w:b/>
                <w:bCs/>
                <w:sz w:val="24"/>
                <w:szCs w:val="24"/>
                <w:lang w:val="en-US" w:eastAsia="zh-CN"/>
              </w:rPr>
              <w:t xml:space="preserve"> 项目与环评情况变更对照表</w:t>
            </w:r>
          </w:p>
          <w:tbl>
            <w:tblPr>
              <w:tblStyle w:val="1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2526"/>
              <w:gridCol w:w="3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eastAsia" w:ascii="Times New Roman" w:hAnsi="Times New Roman" w:cs="Times New Roman"/>
                      <w:b/>
                      <w:bCs/>
                      <w:color w:val="auto"/>
                      <w:kern w:val="2"/>
                      <w:sz w:val="21"/>
                      <w:szCs w:val="21"/>
                      <w:highlight w:val="none"/>
                      <w:u w:val="none" w:color="auto"/>
                      <w:vertAlign w:val="baseline"/>
                      <w:lang w:val="en-US" w:eastAsia="zh-CN" w:bidi="ar"/>
                    </w:rPr>
                    <w:t>项目</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eastAsia" w:ascii="Times New Roman" w:hAnsi="Times New Roman" w:cs="Times New Roman"/>
                      <w:b/>
                      <w:bCs/>
                      <w:color w:val="auto"/>
                      <w:kern w:val="2"/>
                      <w:sz w:val="21"/>
                      <w:szCs w:val="21"/>
                      <w:highlight w:val="none"/>
                      <w:u w:val="none" w:color="auto"/>
                      <w:vertAlign w:val="baseline"/>
                      <w:lang w:val="en-US" w:eastAsia="zh-CN" w:bidi="ar"/>
                    </w:rPr>
                    <w:t>是否与环评一致</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color w:val="auto"/>
                      <w:kern w:val="2"/>
                      <w:sz w:val="21"/>
                      <w:szCs w:val="21"/>
                      <w:highlight w:val="none"/>
                      <w:u w:val="none" w:color="auto"/>
                      <w:vertAlign w:val="baseline"/>
                      <w:lang w:val="en-US" w:eastAsia="zh-CN" w:bidi="ar"/>
                    </w:rPr>
                  </w:pPr>
                  <w:r>
                    <w:rPr>
                      <w:rFonts w:hint="eastAsia" w:ascii="Times New Roman" w:hAnsi="Times New Roman" w:cs="Times New Roman"/>
                      <w:b/>
                      <w:bCs/>
                      <w:color w:val="auto"/>
                      <w:kern w:val="2"/>
                      <w:sz w:val="21"/>
                      <w:szCs w:val="21"/>
                      <w:highlight w:val="none"/>
                      <w:u w:val="none" w:color="auto"/>
                      <w:vertAlign w:val="baseline"/>
                      <w:lang w:val="en-US" w:eastAsia="zh-CN" w:bidi="ar"/>
                    </w:rPr>
                    <w:t>变更情况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性质</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规模</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建设地点</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生产工艺</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0"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环保措施</w:t>
                  </w:r>
                </w:p>
              </w:tc>
              <w:tc>
                <w:tcPr>
                  <w:tcW w:w="1455"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新增了部分环保设施</w:t>
                  </w:r>
                </w:p>
              </w:tc>
              <w:tc>
                <w:tcPr>
                  <w:tcW w:w="197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新增了</w:t>
                  </w:r>
                  <w:r>
                    <w:rPr>
                      <w:rFonts w:hint="default" w:ascii="Times New Roman" w:hAnsi="Times New Roman" w:cs="Times New Roman"/>
                      <w:b w:val="0"/>
                      <w:bCs w:val="0"/>
                      <w:color w:val="auto"/>
                      <w:kern w:val="2"/>
                      <w:sz w:val="21"/>
                      <w:szCs w:val="21"/>
                      <w:highlight w:val="none"/>
                      <w:u w:val="none" w:color="auto"/>
                      <w:vertAlign w:val="baseline"/>
                      <w:lang w:val="en-US" w:eastAsia="zh-CN" w:bidi="ar"/>
                    </w:rPr>
                    <w:t>雨水池、应急池和隔油设备</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b w:val="0"/>
                <w:bCs w:val="0"/>
                <w:color w:val="auto"/>
                <w:kern w:val="2"/>
                <w:sz w:val="28"/>
                <w:szCs w:val="28"/>
                <w:highlight w:val="none"/>
                <w:u w:val="none" w:color="auto"/>
                <w:lang w:val="en-US" w:eastAsia="zh-CN" w:bidi="ar"/>
              </w:rPr>
            </w:pPr>
            <w:r>
              <w:rPr>
                <w:rFonts w:hint="default" w:ascii="Times New Roman" w:hAnsi="Times New Roman" w:eastAsia="宋体" w:cs="Times New Roman"/>
                <w:b w:val="0"/>
                <w:bCs w:val="0"/>
                <w:color w:val="auto"/>
                <w:kern w:val="2"/>
                <w:sz w:val="28"/>
                <w:szCs w:val="28"/>
                <w:highlight w:val="none"/>
                <w:u w:val="none" w:color="auto"/>
                <w:lang w:val="en-US" w:eastAsia="zh-CN" w:bidi="ar"/>
              </w:rPr>
              <w:t>本项目竣工环保验收过程中，经过核实现场建设情况与环境影响评价报告表及批复进行</w:t>
            </w:r>
            <w:r>
              <w:rPr>
                <w:rFonts w:hint="eastAsia" w:ascii="Times New Roman" w:hAnsi="Times New Roman" w:cs="Times New Roman"/>
                <w:b w:val="0"/>
                <w:bCs w:val="0"/>
                <w:color w:val="auto"/>
                <w:kern w:val="2"/>
                <w:sz w:val="28"/>
                <w:szCs w:val="28"/>
                <w:highlight w:val="none"/>
                <w:u w:val="none" w:color="auto"/>
                <w:lang w:val="en-US" w:eastAsia="zh-CN" w:bidi="ar"/>
              </w:rPr>
              <w:t>对比，项目性质、规模、建设地点、生产工艺均无重大变化，但在环保措施方面，企业根据</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岳阳市生态环境局云溪分局</w:t>
            </w:r>
            <w:r>
              <w:rPr>
                <w:rFonts w:hint="default" w:ascii="Times New Roman" w:hAnsi="Times New Roman" w:cs="Times New Roman"/>
                <w:color w:val="auto"/>
                <w:sz w:val="28"/>
                <w:szCs w:val="28"/>
                <w:lang w:val="en-US" w:eastAsia="zh-CN"/>
              </w:rPr>
              <w:t>污染源</w:t>
            </w:r>
            <w:r>
              <w:rPr>
                <w:rFonts w:hint="default" w:ascii="Times New Roman" w:hAnsi="Times New Roman" w:eastAsia="宋体" w:cs="Times New Roman"/>
                <w:color w:val="auto"/>
                <w:sz w:val="28"/>
                <w:szCs w:val="28"/>
                <w:lang w:val="en-US" w:eastAsia="zh-CN"/>
              </w:rPr>
              <w:t>现场监察记录》</w:t>
            </w:r>
            <w:r>
              <w:rPr>
                <w:rFonts w:hint="eastAsia" w:ascii="Times New Roman" w:hAnsi="Times New Roman" w:eastAsia="宋体" w:cs="Times New Roman"/>
                <w:color w:val="auto"/>
                <w:sz w:val="28"/>
                <w:szCs w:val="28"/>
                <w:lang w:val="en-US" w:eastAsia="zh-CN"/>
              </w:rPr>
              <w:t>的要求</w:t>
            </w:r>
            <w:r>
              <w:rPr>
                <w:rFonts w:hint="eastAsia" w:ascii="Times New Roman" w:hAnsi="Times New Roman" w:cs="Times New Roman"/>
                <w:color w:val="auto"/>
                <w:sz w:val="28"/>
                <w:szCs w:val="28"/>
                <w:lang w:val="en-US" w:eastAsia="zh-CN"/>
              </w:rPr>
              <w:t>新增了初期雨水池、应急池和隔油设备，对初期雨水和地面含油废水进行收集处理。可以降低项目废水对附近地表水的影响。</w:t>
            </w:r>
            <w:r>
              <w:rPr>
                <w:rFonts w:hint="default" w:ascii="Times New Roman" w:hAnsi="Times New Roman" w:eastAsia="宋体" w:cs="Times New Roman"/>
                <w:b w:val="0"/>
                <w:bCs w:val="0"/>
                <w:color w:val="auto"/>
                <w:kern w:val="2"/>
                <w:sz w:val="28"/>
                <w:szCs w:val="28"/>
                <w:highlight w:val="none"/>
                <w:u w:val="none" w:color="auto"/>
                <w:lang w:val="en-US" w:eastAsia="zh-CN" w:bidi="ar"/>
              </w:rPr>
              <w:t>属于污染物减少，环境影响变小。综上认为以上环保措施变更不属于重大变更，符合竣工环境保护验收条件。</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
              </w:rPr>
            </w:pPr>
            <w:r>
              <w:rPr>
                <w:rFonts w:hint="eastAsia" w:cs="Times New Roman"/>
                <w:b w:val="0"/>
                <w:bCs w:val="0"/>
                <w:color w:val="auto"/>
                <w:kern w:val="2"/>
                <w:sz w:val="28"/>
                <w:szCs w:val="28"/>
                <w:highlight w:val="none"/>
                <w:u w:val="none" w:color="auto"/>
                <w:lang w:val="en-US" w:eastAsia="zh-CN" w:bidi="ar"/>
              </w:rPr>
              <w:t>根据现场勘查，企业在停车区新增采样平台，按要求必须予以取缔，不在本次验收范围内。</w:t>
            </w:r>
            <w:r>
              <w:rPr>
                <w:rFonts w:hint="default"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bookmarkStart w:id="2" w:name="_GoBack"/>
            <w:bookmarkEnd w:id="2"/>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1" w:hRule="atLeast"/>
          <w:jc w:val="center"/>
        </w:trPr>
        <w:tc>
          <w:tcPr>
            <w:tcW w:w="9039" w:type="dxa"/>
          </w:tcPr>
          <w:p>
            <w:pPr>
              <w:pStyle w:val="5"/>
              <w:spacing w:line="484" w:lineRule="exac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建设项目环境影响报告主要结论及审批部门审批决定：</w:t>
            </w:r>
          </w:p>
          <w:p>
            <w:pPr>
              <w:spacing w:line="360" w:lineRule="auto"/>
              <w:ind w:firstLine="562" w:firstLineChars="20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对照</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岳阳云港化工物流有限公司岳阳云港物流园建设项目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eastAsia="宋体" w:cs="Times New Roman"/>
                <w:sz w:val="28"/>
                <w:szCs w:val="28"/>
                <w:lang w:val="en-US" w:eastAsia="zh-CN"/>
              </w:rPr>
              <w:t>，环评结论与建议见表</w:t>
            </w:r>
            <w:r>
              <w:rPr>
                <w:rFonts w:hint="eastAsia" w:ascii="Times New Roman" w:hAnsi="Times New Roman" w:cs="Times New Roman"/>
                <w:sz w:val="28"/>
                <w:szCs w:val="28"/>
                <w:lang w:val="en-US" w:eastAsia="zh-CN"/>
              </w:rPr>
              <w:t>10</w:t>
            </w:r>
            <w:r>
              <w:rPr>
                <w:rFonts w:hint="default" w:ascii="Times New Roman" w:hAnsi="Times New Roman" w:eastAsia="宋体" w:cs="Times New Roman"/>
                <w:sz w:val="28"/>
                <w:szCs w:val="28"/>
                <w:lang w:val="en-US" w:eastAsia="zh-CN"/>
              </w:rPr>
              <w:t>。</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 xml:space="preserve">  环评结论一览表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5"/>
              <w:gridCol w:w="8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4684" w:type="pct"/>
                  <w:tcBorders>
                    <w:tl2br w:val="nil"/>
                    <w:tr2bl w:val="nil"/>
                  </w:tcBorders>
                  <w:shd w:val="clear" w:color="auto" w:fill="auto"/>
                  <w:vAlign w:val="center"/>
                </w:tcPr>
                <w:p>
                  <w:pPr>
                    <w:pStyle w:val="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环境影响评价报告表相关要求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废气</w:t>
                  </w:r>
                </w:p>
              </w:tc>
              <w:tc>
                <w:tcPr>
                  <w:tcW w:w="468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本项目营运期产生的大气污染物主要是粉尘、汽车尾气、发电机废气和食堂油烟废气。</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采取本环评建议的有效防治措施后，粉尘排放达到《大气污染物综合排放标准》(GB16279-1996)表2中无组织排放监控浓度限值；加强车辆管理，使车流、人流分开；发电机以柴油为燃料，柴油是比较清洁的燃料，燃烧时外排的大气污染物较少，产生的废气经过排气口排放，对大气环境影响不大。饮食油烟废气采用高效静电油烟净化器处理后引至楼项排放，排放口避开受影响的建筑物。油烟处理效率约85%，经处理后废气中油烟浓度为1.5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，满足(饮食业油烟排放标准》（试行）（GB18483-2001）的排放标准。</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综上所述，通过采用以上环保措施后，本项目营运过程中产生的废气对区域大气环境影响较小。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废水</w:t>
                  </w:r>
                </w:p>
              </w:tc>
              <w:tc>
                <w:tcPr>
                  <w:tcW w:w="468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本项目营运过程中产生的废水主要包括物流商务区生活污水、车辆冲洗污水和运输化工原料的槽罐清洗废水。其中生活污水、车辆冲洗污水经过隔油池、</w:t>
                  </w:r>
                  <w:r>
                    <w:rPr>
                      <w:rFonts w:hint="default" w:ascii="Times New Roman" w:hAnsi="Times New Roman" w:cs="Times New Roman"/>
                      <w:b w:val="0"/>
                      <w:bCs w:val="0"/>
                      <w:color w:val="auto"/>
                      <w:sz w:val="21"/>
                      <w:szCs w:val="21"/>
                      <w:highlight w:val="none"/>
                      <w:lang w:val="en-US" w:eastAsia="zh-CN"/>
                    </w:rPr>
                    <w:t>化粪</w:t>
                  </w:r>
                  <w:r>
                    <w:rPr>
                      <w:rFonts w:hint="default" w:ascii="Times New Roman" w:hAnsi="Times New Roman" w:eastAsia="宋体" w:cs="Times New Roman"/>
                      <w:b w:val="0"/>
                      <w:bCs w:val="0"/>
                      <w:color w:val="auto"/>
                      <w:sz w:val="21"/>
                      <w:szCs w:val="21"/>
                      <w:highlight w:val="none"/>
                      <w:lang w:val="en-US" w:eastAsia="zh-CN"/>
                    </w:rPr>
                    <w:t>池预处理</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槽罐车罐内含油废水经过斜板隔油池处理后回用于车体的</w:t>
                  </w:r>
                  <w:r>
                    <w:rPr>
                      <w:rFonts w:hint="default" w:ascii="Times New Roman" w:hAnsi="Times New Roman" w:cs="Times New Roman"/>
                      <w:b w:val="0"/>
                      <w:bCs w:val="0"/>
                      <w:color w:val="auto"/>
                      <w:sz w:val="21"/>
                      <w:szCs w:val="21"/>
                      <w:highlight w:val="none"/>
                      <w:lang w:val="en-US" w:eastAsia="zh-CN"/>
                    </w:rPr>
                    <w:t>清洗，</w:t>
                  </w:r>
                  <w:r>
                    <w:rPr>
                      <w:rFonts w:hint="default" w:ascii="Times New Roman" w:hAnsi="Times New Roman" w:eastAsia="宋体" w:cs="Times New Roman"/>
                      <w:b w:val="0"/>
                      <w:bCs w:val="0"/>
                      <w:color w:val="auto"/>
                      <w:sz w:val="21"/>
                      <w:szCs w:val="21"/>
                      <w:highlight w:val="none"/>
                      <w:lang w:val="en-US" w:eastAsia="zh-CN"/>
                    </w:rPr>
                    <w:t>有机废水通过自建的污水处理站预处理后排入云溪区污水处理厂达标处理</w:t>
                  </w:r>
                  <w:r>
                    <w:rPr>
                      <w:rFonts w:hint="default" w:ascii="Times New Roman" w:hAnsi="Times New Roman" w:cs="Times New Roman"/>
                      <w:b w:val="0"/>
                      <w:bCs w:val="0"/>
                      <w:color w:val="auto"/>
                      <w:sz w:val="21"/>
                      <w:szCs w:val="21"/>
                      <w:highlight w:val="none"/>
                      <w:lang w:val="en-US" w:eastAsia="zh-CN"/>
                    </w:rPr>
                    <w:t>后再排入长江。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经以上措施处理后，项目产生的废水对区域水环境影响不大</w:t>
                  </w:r>
                  <w:r>
                    <w:rPr>
                      <w:rFonts w:hint="default" w:ascii="Times New Roman" w:hAnsi="Times New Roman" w:eastAsia="宋体" w:cs="Times New Roman"/>
                      <w:b w:val="0"/>
                      <w:bCs w:val="0"/>
                      <w:color w:val="auto"/>
                      <w:sz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噪声</w:t>
                  </w:r>
                </w:p>
              </w:tc>
              <w:tc>
                <w:tcPr>
                  <w:tcW w:w="468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项目营运期产生的噪声主要包括厂区内来往车辆产生的交通噪声、堆高机等作业机械卸货、装货时产生的噪声。根据工程分析部分知，厂区内车辆引起的交通噪声值在60~78dB(A)之间，作业机械装、卸货物产生的噪声值约85dB(A)。建设单位采取有效降噪措施后，厂界噪声值为58.0-51.0(A)，达到工业企业厂界噪声标准。项目营运过程中的噪声对周边环境影响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固体废物</w:t>
                  </w:r>
                </w:p>
              </w:tc>
              <w:tc>
                <w:tcPr>
                  <w:tcW w:w="468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项目固体废物处理处置符合国家《固体废物行染环境防治法》规定的原则，符合《一般工业固体废物贮存、处置场污染控制标准)》(GB18599-2001)和《危险废物贮存污染控制标准》（GB18597-2001）规定，采取上述措施后，本工程固体废物可得到妥善的处理，对周围环境造成的影响很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15" w:type="pct"/>
                  <w:tcBorders>
                    <w:tl2br w:val="nil"/>
                    <w:tr2bl w:val="nil"/>
                  </w:tcBorders>
                  <w:shd w:val="clear" w:color="auto" w:fill="auto"/>
                  <w:vAlign w:val="center"/>
                </w:tcPr>
                <w:p>
                  <w:pPr>
                    <w:pStyle w:val="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环评结论</w:t>
                  </w:r>
                </w:p>
              </w:tc>
              <w:tc>
                <w:tcPr>
                  <w:tcW w:w="4684" w:type="pct"/>
                  <w:tcBorders>
                    <w:tl2br w:val="nil"/>
                    <w:tr2bl w:val="nil"/>
                  </w:tcBorders>
                  <w:shd w:val="clear" w:color="auto" w:fill="auto"/>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综上所述，岳阳云港化工物流有限公司投资8000万元在岳阳市云溪区通港路与随岳高速公路交汇处东北侧建设岳阳云港物流园。该项目的建设符合国家产业政策和土地利用规划，选址合理，总平面布置基本合理。通过评价分析,建设单位在落实好环保资金和本环评提出的各项污染防治措施的前提下，加强环境管理。因此，从环境保护角度考虑本项目的建设是可行的。</w:t>
                  </w:r>
                </w:p>
              </w:tc>
            </w:tr>
          </w:tbl>
          <w:p>
            <w:pPr>
              <w:widowControl/>
              <w:spacing w:line="360" w:lineRule="auto"/>
              <w:ind w:firstLine="562" w:firstLineChars="200"/>
              <w:rPr>
                <w:rFonts w:hint="default" w:ascii="Times New Roman" w:hAnsi="Times New Roman" w:eastAsia="宋体" w:cs="Times New Roman"/>
                <w:b/>
                <w:bCs/>
                <w:sz w:val="28"/>
                <w:szCs w:val="28"/>
                <w:lang w:eastAsia="zh-CN" w:bidi="ar"/>
              </w:rPr>
            </w:pPr>
            <w:r>
              <w:rPr>
                <w:rFonts w:hint="default" w:ascii="Times New Roman" w:hAnsi="Times New Roman" w:eastAsia="宋体" w:cs="Times New Roman"/>
                <w:b/>
                <w:bCs/>
                <w:sz w:val="28"/>
                <w:szCs w:val="28"/>
                <w:lang w:eastAsia="zh-CN" w:bidi="ar"/>
              </w:rPr>
              <w:t>审批部门审批决定：</w:t>
            </w:r>
          </w:p>
          <w:p>
            <w:pPr>
              <w:pStyle w:val="5"/>
              <w:keepNext w:val="0"/>
              <w:keepLines w:val="0"/>
              <w:pageBreakBefore w:val="0"/>
              <w:widowControl w:val="0"/>
              <w:kinsoku/>
              <w:wordWrap/>
              <w:overflowPunct/>
              <w:topLinePunct w:val="0"/>
              <w:autoSpaceDE w:val="0"/>
              <w:autoSpaceDN w:val="0"/>
              <w:bidi w:val="0"/>
              <w:adjustRightInd/>
              <w:snapToGrid/>
              <w:spacing w:line="360" w:lineRule="auto"/>
              <w:ind w:right="0" w:firstLine="560" w:firstLineChars="200"/>
              <w:jc w:val="both"/>
              <w:textAlignment w:val="auto"/>
              <w:rPr>
                <w:rFonts w:hint="default" w:ascii="Times New Roman" w:hAnsi="Times New Roman" w:eastAsia="宋体" w:cs="Times New Roman"/>
                <w:sz w:val="28"/>
                <w:szCs w:val="28"/>
                <w:lang w:eastAsia="zh-CN"/>
              </w:rPr>
            </w:pPr>
            <w:r>
              <w:rPr>
                <w:rFonts w:hint="eastAsia" w:ascii="Times New Roman" w:hAnsi="Times New Roman" w:cs="Times New Roman"/>
                <w:sz w:val="28"/>
                <w:szCs w:val="28"/>
                <w:lang w:val="en-US" w:eastAsia="zh-CN"/>
              </w:rPr>
              <w:t>2013年4月21日，原</w:t>
            </w:r>
            <w:r>
              <w:rPr>
                <w:rFonts w:hint="default" w:ascii="Times New Roman" w:hAnsi="Times New Roman" w:eastAsia="宋体" w:cs="Times New Roman"/>
                <w:sz w:val="28"/>
                <w:szCs w:val="28"/>
                <w:lang w:eastAsia="zh-CN"/>
              </w:rPr>
              <w:t>岳阳市</w:t>
            </w:r>
            <w:r>
              <w:rPr>
                <w:rFonts w:hint="eastAsia" w:ascii="Times New Roman" w:hAnsi="Times New Roman" w:cs="Times New Roman"/>
                <w:sz w:val="28"/>
                <w:szCs w:val="28"/>
                <w:lang w:val="en-US" w:eastAsia="zh-CN"/>
              </w:rPr>
              <w:t>环境保护</w:t>
            </w:r>
            <w:r>
              <w:rPr>
                <w:rFonts w:hint="default" w:ascii="Times New Roman" w:hAnsi="Times New Roman" w:eastAsia="宋体" w:cs="Times New Roman"/>
                <w:sz w:val="28"/>
                <w:szCs w:val="28"/>
                <w:lang w:eastAsia="zh-CN"/>
              </w:rPr>
              <w:t>局</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现岳阳市生态环境局</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以“岳环评〔20</w:t>
            </w:r>
            <w:r>
              <w:rPr>
                <w:rFonts w:hint="eastAsia" w:ascii="Times New Roman" w:hAnsi="Times New Roman" w:cs="Times New Roman"/>
                <w:sz w:val="28"/>
                <w:szCs w:val="28"/>
                <w:lang w:val="en-US" w:eastAsia="zh-CN"/>
              </w:rPr>
              <w:t>13</w:t>
            </w:r>
            <w:r>
              <w:rPr>
                <w:rFonts w:hint="default" w:ascii="Times New Roman" w:hAnsi="Times New Roman" w:eastAsia="宋体" w:cs="Times New Roman"/>
                <w:sz w:val="28"/>
                <w:szCs w:val="28"/>
                <w:lang w:eastAsia="zh-CN"/>
              </w:rPr>
              <w:t>〕</w:t>
            </w:r>
            <w:r>
              <w:rPr>
                <w:rFonts w:hint="eastAsia" w:ascii="Times New Roman" w:hAnsi="Times New Roman" w:cs="Times New Roman"/>
                <w:sz w:val="28"/>
                <w:szCs w:val="28"/>
                <w:lang w:val="en-US" w:eastAsia="zh-CN"/>
              </w:rPr>
              <w:t>51</w:t>
            </w:r>
            <w:r>
              <w:rPr>
                <w:rFonts w:hint="default" w:ascii="Times New Roman" w:hAnsi="Times New Roman" w:eastAsia="宋体" w:cs="Times New Roman"/>
                <w:sz w:val="28"/>
                <w:szCs w:val="28"/>
                <w:lang w:eastAsia="zh-CN"/>
              </w:rPr>
              <w:t>号”文件对</w:t>
            </w:r>
            <w:r>
              <w:rPr>
                <w:rFonts w:hint="eastAsia" w:ascii="Times New Roman" w:hAnsi="Times New Roman" w:cs="Times New Roman"/>
                <w:sz w:val="28"/>
                <w:szCs w:val="28"/>
                <w:lang w:val="en-US" w:eastAsia="zh-CN"/>
              </w:rPr>
              <w:t>岳阳云港物流园</w:t>
            </w:r>
            <w:r>
              <w:rPr>
                <w:rFonts w:hint="default" w:ascii="Times New Roman" w:hAnsi="Times New Roman" w:eastAsia="宋体" w:cs="Times New Roman"/>
                <w:sz w:val="28"/>
                <w:szCs w:val="28"/>
                <w:lang w:eastAsia="zh-CN"/>
              </w:rPr>
              <w:t>建设项目环境影响报告表进行批复。批复的内容如下：</w:t>
            </w:r>
          </w:p>
          <w:p>
            <w:pPr>
              <w:pStyle w:val="5"/>
              <w:keepNext w:val="0"/>
              <w:keepLines w:val="0"/>
              <w:pageBreakBefore w:val="0"/>
              <w:widowControl w:val="0"/>
              <w:kinsoku/>
              <w:wordWrap/>
              <w:overflowPunct/>
              <w:topLinePunct w:val="0"/>
              <w:autoSpaceDE w:val="0"/>
              <w:autoSpaceDN w:val="0"/>
              <w:bidi w:val="0"/>
              <w:adjustRightInd/>
              <w:snapToGrid/>
              <w:spacing w:line="360" w:lineRule="auto"/>
              <w:ind w:right="0"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岳阳云港化工物流有限公司岳阳云港物流园建设项目建于岳阳市云溪区通港路与随岳高速公路交汇处东北侧，总投资8000万元(环保投资144万元)</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总占地面积</w:t>
            </w:r>
            <w:r>
              <w:rPr>
                <w:rFonts w:hint="eastAsia" w:ascii="Times New Roman" w:hAnsi="Times New Roman" w:cs="Times New Roman"/>
                <w:sz w:val="28"/>
                <w:szCs w:val="28"/>
                <w:lang w:val="en-US" w:eastAsia="zh-CN"/>
              </w:rPr>
              <w:t>5</w:t>
            </w:r>
            <w:r>
              <w:rPr>
                <w:rFonts w:hint="default" w:ascii="Times New Roman" w:hAnsi="Times New Roman" w:eastAsia="宋体" w:cs="Times New Roman"/>
                <w:sz w:val="28"/>
                <w:szCs w:val="28"/>
                <w:lang w:eastAsia="zh-CN"/>
              </w:rPr>
              <w:t>66</w:t>
            </w:r>
            <w:r>
              <w:rPr>
                <w:rFonts w:hint="eastAsia" w:ascii="Times New Roman" w:hAnsi="Times New Roman" w:cs="Times New Roman"/>
                <w:sz w:val="28"/>
                <w:szCs w:val="28"/>
                <w:lang w:val="en-US" w:eastAsia="zh-CN"/>
              </w:rPr>
              <w:t>7</w:t>
            </w:r>
            <w:r>
              <w:rPr>
                <w:rFonts w:hint="default" w:ascii="Times New Roman" w:hAnsi="Times New Roman" w:eastAsia="宋体" w:cs="Times New Roman"/>
                <w:sz w:val="28"/>
                <w:szCs w:val="28"/>
                <w:lang w:eastAsia="zh-CN"/>
              </w:rPr>
              <w:t>8m</w:t>
            </w:r>
            <w:r>
              <w:rPr>
                <w:rFonts w:hint="eastAsia" w:ascii="Times New Roman" w:hAnsi="Times New Roman" w:cs="Times New Roman"/>
                <w:sz w:val="28"/>
                <w:szCs w:val="28"/>
                <w:vertAlign w:val="superscript"/>
                <w:lang w:val="en-US" w:eastAsia="zh-CN"/>
              </w:rPr>
              <w:t>2</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lang w:eastAsia="zh-CN"/>
              </w:rPr>
              <w:t>项目是集运输、仓储、装卸、配送、汽修、危货槽罐车清洗、信息服务等功能于一体的货运物流中心。分为物流商务区、货运配载停车区、清洗作业区</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主要建设内容包括</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物流信息大楼40</w:t>
            </w:r>
            <w:r>
              <w:rPr>
                <w:rFonts w:hint="eastAsia" w:ascii="Times New Roman" w:hAnsi="Times New Roman" w:cs="Times New Roman"/>
                <w:sz w:val="28"/>
                <w:szCs w:val="28"/>
                <w:lang w:val="en-US" w:eastAsia="zh-CN"/>
              </w:rPr>
              <w:t>0</w:t>
            </w:r>
            <w:r>
              <w:rPr>
                <w:rFonts w:hint="default" w:ascii="Times New Roman" w:hAnsi="Times New Roman" w:eastAsia="宋体" w:cs="Times New Roman"/>
                <w:sz w:val="28"/>
                <w:szCs w:val="28"/>
                <w:lang w:eastAsia="zh-CN"/>
              </w:rPr>
              <w:t>0m</w:t>
            </w:r>
            <w:r>
              <w:rPr>
                <w:rFonts w:hint="default" w:ascii="Times New Roman" w:hAnsi="Times New Roman" w:eastAsia="宋体" w:cs="Times New Roman"/>
                <w:sz w:val="28"/>
                <w:szCs w:val="28"/>
                <w:vertAlign w:val="superscript"/>
                <w:lang w:eastAsia="zh-CN"/>
              </w:rPr>
              <w:t>2</w:t>
            </w:r>
            <w:r>
              <w:rPr>
                <w:rFonts w:hint="default" w:ascii="Times New Roman" w:hAnsi="Times New Roman" w:eastAsia="宋体" w:cs="Times New Roman"/>
                <w:sz w:val="28"/>
                <w:szCs w:val="28"/>
                <w:lang w:eastAsia="zh-CN"/>
              </w:rPr>
              <w:t>、零担仓库3000m</w:t>
            </w:r>
            <w:r>
              <w:rPr>
                <w:rFonts w:hint="default" w:ascii="Times New Roman" w:hAnsi="Times New Roman" w:eastAsia="宋体" w:cs="Times New Roman"/>
                <w:sz w:val="28"/>
                <w:szCs w:val="28"/>
                <w:vertAlign w:val="superscript"/>
                <w:lang w:eastAsia="zh-CN"/>
              </w:rPr>
              <w:t>2</w:t>
            </w:r>
            <w:r>
              <w:rPr>
                <w:rFonts w:hint="default" w:ascii="Times New Roman" w:hAnsi="Times New Roman" w:eastAsia="宋体" w:cs="Times New Roman"/>
                <w:sz w:val="28"/>
                <w:szCs w:val="28"/>
                <w:lang w:eastAsia="zh-CN"/>
              </w:rPr>
              <w:t>、堆场2000m</w:t>
            </w:r>
            <w:r>
              <w:rPr>
                <w:rFonts w:hint="eastAsia" w:ascii="Times New Roman" w:hAnsi="Times New Roman" w:cs="Times New Roman"/>
                <w:sz w:val="28"/>
                <w:szCs w:val="28"/>
                <w:vertAlign w:val="superscript"/>
                <w:lang w:val="en-US" w:eastAsia="zh-CN"/>
              </w:rPr>
              <w:t>2</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清洗作业区10</w:t>
            </w:r>
            <w:r>
              <w:rPr>
                <w:rFonts w:hint="eastAsia" w:ascii="Times New Roman" w:hAnsi="Times New Roman" w:cs="Times New Roman"/>
                <w:sz w:val="28"/>
                <w:szCs w:val="28"/>
                <w:lang w:val="en-US" w:eastAsia="zh-CN"/>
              </w:rPr>
              <w:t>00</w:t>
            </w:r>
            <w:r>
              <w:rPr>
                <w:rFonts w:hint="default" w:ascii="Times New Roman" w:hAnsi="Times New Roman" w:eastAsia="宋体" w:cs="Times New Roman"/>
                <w:sz w:val="28"/>
                <w:szCs w:val="28"/>
                <w:lang w:eastAsia="zh-CN"/>
              </w:rPr>
              <w:t>m</w:t>
            </w:r>
            <w:r>
              <w:rPr>
                <w:rFonts w:hint="eastAsia" w:ascii="Times New Roman" w:hAnsi="Times New Roman" w:cs="Times New Roman"/>
                <w:sz w:val="28"/>
                <w:szCs w:val="28"/>
                <w:vertAlign w:val="superscript"/>
                <w:lang w:val="en-US" w:eastAsia="zh-CN"/>
              </w:rPr>
              <w:t>2</w:t>
            </w:r>
            <w:r>
              <w:rPr>
                <w:rFonts w:hint="default" w:ascii="Times New Roman" w:hAnsi="Times New Roman" w:eastAsia="宋体" w:cs="Times New Roman"/>
                <w:sz w:val="28"/>
                <w:szCs w:val="28"/>
                <w:lang w:eastAsia="zh-CN"/>
              </w:rPr>
              <w:t>,职工宿舍900m</w:t>
            </w:r>
            <w:r>
              <w:rPr>
                <w:rFonts w:hint="default" w:ascii="Times New Roman" w:hAnsi="Times New Roman" w:eastAsia="宋体" w:cs="Times New Roman"/>
                <w:sz w:val="28"/>
                <w:szCs w:val="28"/>
                <w:vertAlign w:val="superscript"/>
                <w:lang w:eastAsia="zh-CN"/>
              </w:rPr>
              <w:t>2</w:t>
            </w:r>
            <w:r>
              <w:rPr>
                <w:rFonts w:hint="default" w:ascii="Times New Roman" w:hAnsi="Times New Roman" w:eastAsia="宋体" w:cs="Times New Roman"/>
                <w:sz w:val="28"/>
                <w:szCs w:val="28"/>
                <w:lang w:eastAsia="zh-CN"/>
              </w:rPr>
              <w:t>等辅助设施、办公楼、公用工程用房及道路绿化，总建筑面积41542m</w:t>
            </w:r>
            <w:r>
              <w:rPr>
                <w:rFonts w:hint="default" w:ascii="Times New Roman" w:hAnsi="Times New Roman" w:eastAsia="宋体" w:cs="Times New Roman"/>
                <w:sz w:val="28"/>
                <w:szCs w:val="28"/>
                <w:vertAlign w:val="superscript"/>
                <w:lang w:eastAsia="zh-CN"/>
              </w:rPr>
              <w:t>2</w:t>
            </w:r>
            <w:r>
              <w:rPr>
                <w:rFonts w:hint="default" w:ascii="Times New Roman" w:hAnsi="Times New Roman" w:eastAsia="宋体" w:cs="Times New Roman"/>
                <w:sz w:val="28"/>
                <w:szCs w:val="28"/>
                <w:lang w:eastAsia="zh-CN"/>
              </w:rPr>
              <w:t>等。项目仓储运输货物主要品种为</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电器、纸张、工业零配件、建筑材料以及木材等，货物统一由集装箱包装，无危险化学品仓储及转运。项目符合国家产业政策、《岳阳市云溪区国民经济和社会发展第十二个五年发展纲要》，对解决云溪区化学品槽罐车清洗带来的环境问题、物流信息资源的开发利用，整合社会物流要素，推动云溪区物流产业向高层次发展具有重要意义。根据中国人民解放军环境科学研究中心编制的环境影响报告表内容、结论及专家评审意见及&lt;岳阳市云溪区人民政府关于对云港物流园环境评估所涉事项说明的函&gt;</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从环境保护方面考虑同意该项目的建设</w:t>
            </w:r>
            <w:r>
              <w:rPr>
                <w:rFonts w:hint="eastAsia" w:ascii="Times New Roman" w:hAnsi="Times New Roman" w:cs="Times New Roman"/>
                <w:sz w:val="28"/>
                <w:szCs w:val="28"/>
                <w:lang w:eastAsia="zh-CN"/>
              </w:rPr>
              <w:t>。</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工程建设及营运过程中，须注意落实以下环保要求</w:t>
            </w:r>
            <w:r>
              <w:rPr>
                <w:rFonts w:hint="eastAsia" w:ascii="Times New Roman" w:hAnsi="Times New Roman" w:cs="Times New Roman"/>
                <w:sz w:val="28"/>
                <w:szCs w:val="28"/>
                <w:lang w:eastAsia="zh-CN" w:bidi="ar"/>
              </w:rPr>
              <w:t>：</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eastAsia" w:ascii="Times New Roman" w:hAnsi="Times New Roman" w:cs="Times New Roman"/>
                <w:sz w:val="28"/>
                <w:szCs w:val="28"/>
                <w:lang w:val="en-US" w:eastAsia="zh-CN" w:bidi="ar"/>
              </w:rPr>
              <w:t>1、</w:t>
            </w:r>
            <w:r>
              <w:rPr>
                <w:rFonts w:hint="default" w:ascii="Times New Roman" w:hAnsi="Times New Roman" w:eastAsia="宋体" w:cs="Times New Roman"/>
                <w:sz w:val="28"/>
                <w:szCs w:val="28"/>
                <w:lang w:eastAsia="zh-CN" w:bidi="ar"/>
              </w:rPr>
              <w:t>项目建设前必须妥善解决拟建地原有环境问题，在切实落实巴陵石化历史遗留的危险固废处置措施，并确保不造成二次污染的前提下</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项目方可开工建设。</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2、严格执行物流园准入条件</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不得转运或经营石油化工产品</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粮食和蔬菜等不相容的物品，建筑材料中不得储存水泥等粉料物品</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严禁经营有毒、易燃易爆及腐蚀性等危险化学品。</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3</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切实做好施工期环境保护工作，尽量缩短施工期，合理安排高噪声设备的作业时间，加强土石运输污染控制，避免工程施工期噪声、扬尘和水土流失影响。</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4、全场实行雨污分流，严格按照“雨污分流、清污分流、污污分流”的原则规范建设厂区雨水及污水管网。槽罐车罐内含油废水经斜板隔油池隔油后回用于含油糟罐车清洗</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其他化学品槽罐车清洗废水采用“白土活性污泥法+厌氧滤池+BAF曝气生物滤池”处理</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达到《污水综合排放标准》(GB8978-1996)中表4的三级标准后排入云溪污水处理厂处理达标排放;生活污水、洗车废水和槽罐车的车外清洗废水通过化粪池、隔油池的预处理达到《污水综合排放标准》(GB8978-1996)中三级标准后排入云溪区污水处理厂处理达标后排入长江</w:t>
            </w:r>
            <w:r>
              <w:rPr>
                <w:rFonts w:hint="eastAsia" w:ascii="Times New Roman" w:hAnsi="Times New Roman" w:cs="Times New Roman"/>
                <w:sz w:val="28"/>
                <w:szCs w:val="28"/>
                <w:lang w:eastAsia="zh-CN" w:bidi="ar"/>
              </w:rPr>
              <w:t>。</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5</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加强园内物流转运产生的粉尘管理，全厂保持清洁平整，定时洒水抑尘</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厂界无组织排放粉尘须满足《大气污染物综合排放标准》(GB16297-1996)无组织排放监控浓度限值要求</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运输车辆</w:t>
            </w:r>
            <w:r>
              <w:rPr>
                <w:rFonts w:hint="eastAsia" w:ascii="Times New Roman" w:hAnsi="Times New Roman" w:cs="Times New Roman"/>
                <w:sz w:val="28"/>
                <w:szCs w:val="28"/>
                <w:lang w:val="en-US" w:eastAsia="zh-CN" w:bidi="ar"/>
              </w:rPr>
              <w:t>装卸</w:t>
            </w:r>
            <w:r>
              <w:rPr>
                <w:rFonts w:hint="default" w:ascii="Times New Roman" w:hAnsi="Times New Roman" w:eastAsia="宋体" w:cs="Times New Roman"/>
                <w:sz w:val="28"/>
                <w:szCs w:val="28"/>
                <w:lang w:eastAsia="zh-CN" w:bidi="ar"/>
              </w:rPr>
              <w:t>货物熄火停车，避免车辆</w:t>
            </w:r>
            <w:r>
              <w:rPr>
                <w:rFonts w:hint="eastAsia" w:ascii="Times New Roman" w:hAnsi="Times New Roman" w:cs="Times New Roman"/>
                <w:sz w:val="28"/>
                <w:szCs w:val="28"/>
                <w:lang w:val="en-US" w:eastAsia="zh-CN" w:bidi="ar"/>
              </w:rPr>
              <w:t>怠速</w:t>
            </w:r>
            <w:r>
              <w:rPr>
                <w:rFonts w:hint="default" w:ascii="Times New Roman" w:hAnsi="Times New Roman" w:eastAsia="宋体" w:cs="Times New Roman"/>
                <w:sz w:val="28"/>
                <w:szCs w:val="28"/>
                <w:lang w:eastAsia="zh-CN" w:bidi="ar"/>
              </w:rPr>
              <w:t>产生汽车尾气</w:t>
            </w:r>
            <w:r>
              <w:rPr>
                <w:rFonts w:hint="eastAsia" w:ascii="Times New Roman" w:hAnsi="Times New Roman" w:cs="Times New Roman"/>
                <w:sz w:val="28"/>
                <w:szCs w:val="28"/>
                <w:lang w:eastAsia="zh-CN" w:bidi="ar"/>
              </w:rPr>
              <w:t>；</w:t>
            </w:r>
            <w:r>
              <w:rPr>
                <w:rFonts w:hint="eastAsia" w:ascii="Times New Roman" w:hAnsi="Times New Roman" w:cs="Times New Roman"/>
                <w:sz w:val="28"/>
                <w:szCs w:val="28"/>
                <w:lang w:val="en-US" w:eastAsia="zh-CN" w:bidi="ar"/>
              </w:rPr>
              <w:t>食堂</w:t>
            </w:r>
            <w:r>
              <w:rPr>
                <w:rFonts w:hint="default" w:ascii="Times New Roman" w:hAnsi="Times New Roman" w:eastAsia="宋体" w:cs="Times New Roman"/>
                <w:sz w:val="28"/>
                <w:szCs w:val="28"/>
                <w:lang w:eastAsia="zh-CN" w:bidi="ar"/>
              </w:rPr>
              <w:t>油烟废气经抽排风设施及净化器处理达到《饮食业油烟排放标准》(1318483-200</w:t>
            </w:r>
            <w:r>
              <w:rPr>
                <w:rFonts w:hint="eastAsia" w:ascii="Times New Roman" w:hAnsi="Times New Roman" w:cs="Times New Roman"/>
                <w:sz w:val="28"/>
                <w:szCs w:val="28"/>
                <w:lang w:val="en-US" w:eastAsia="zh-CN" w:bidi="ar"/>
              </w:rPr>
              <w:t>1</w:t>
            </w:r>
            <w:r>
              <w:rPr>
                <w:rFonts w:hint="default" w:ascii="Times New Roman" w:hAnsi="Times New Roman" w:eastAsia="宋体" w:cs="Times New Roman"/>
                <w:sz w:val="28"/>
                <w:szCs w:val="28"/>
                <w:lang w:eastAsia="zh-CN" w:bidi="ar"/>
              </w:rPr>
              <w:t xml:space="preserve"> )后外排。</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6</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合理规划布局物流园出入车辆运输线路</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尽可能避让环境敏感点，加强对运输车辆的管理，防止行驶噪声污染影响，对产生噪声的设备和工序进行合理布局，确保厂界昼夜间噪声均满足《工业企业厂界环境噪声排放标准》12482008中的3类标准要求。</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7、建设临时渣库，分类堆放固体废物。各类原辅材料及固体废物不得露天堆放。槽罐残渣残液、废电瓶、废机油和油抹布等危险固废送有资质单位处置，严格按《危险废物贮存污染控制标准(GB18597-2001)》要求建设危险废物暂存处</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废包装物、废轮胎等</w:t>
            </w:r>
            <w:r>
              <w:rPr>
                <w:rFonts w:hint="eastAsia" w:ascii="Times New Roman" w:hAnsi="Times New Roman" w:cs="Times New Roman"/>
                <w:sz w:val="28"/>
                <w:szCs w:val="28"/>
                <w:lang w:val="en-US" w:eastAsia="zh-CN" w:bidi="ar"/>
              </w:rPr>
              <w:t>一</w:t>
            </w:r>
            <w:r>
              <w:rPr>
                <w:rFonts w:hint="default" w:ascii="Times New Roman" w:hAnsi="Times New Roman" w:eastAsia="宋体" w:cs="Times New Roman"/>
                <w:sz w:val="28"/>
                <w:szCs w:val="28"/>
                <w:lang w:eastAsia="zh-CN" w:bidi="ar"/>
              </w:rPr>
              <w:t>般工业固废综合利用，生活垃圾集中收集后交环卫部门统</w:t>
            </w:r>
            <w:r>
              <w:rPr>
                <w:rFonts w:hint="eastAsia" w:ascii="Times New Roman" w:hAnsi="Times New Roman" w:cs="Times New Roman"/>
                <w:sz w:val="28"/>
                <w:szCs w:val="28"/>
                <w:lang w:val="en-US" w:eastAsia="zh-CN" w:bidi="ar"/>
              </w:rPr>
              <w:t>一</w:t>
            </w:r>
            <w:r>
              <w:rPr>
                <w:rFonts w:hint="default" w:ascii="Times New Roman" w:hAnsi="Times New Roman" w:eastAsia="宋体" w:cs="Times New Roman"/>
                <w:sz w:val="28"/>
                <w:szCs w:val="28"/>
                <w:lang w:eastAsia="zh-CN" w:bidi="ar"/>
              </w:rPr>
              <w:t>处理</w:t>
            </w:r>
            <w:r>
              <w:rPr>
                <w:rFonts w:hint="eastAsia" w:ascii="Times New Roman" w:hAnsi="Times New Roman" w:cs="Times New Roman"/>
                <w:sz w:val="28"/>
                <w:szCs w:val="28"/>
                <w:lang w:eastAsia="zh-CN" w:bidi="ar"/>
              </w:rPr>
              <w:t>。</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8.做好征地拆迁安置方案，对工程建设中需要征地拆迁的用地、住户须按照有关政策规定落实补偿措施。</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二</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项目竣工后，须按照《建设项目竣工环境保护验收管理办法》的规定向我局提出试运行申请</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经审查同意方可试运行，试运行3个月内，向我局申请对配套建设的环境保护设施验收、并经验收合格后，方可投入正式运行。</w:t>
            </w:r>
          </w:p>
          <w:p>
            <w:pPr>
              <w:widowControl/>
              <w:spacing w:line="360" w:lineRule="auto"/>
              <w:ind w:firstLine="560" w:firstLineChars="200"/>
              <w:rPr>
                <w:rFonts w:hint="default" w:ascii="Times New Roman" w:hAnsi="Times New Roman" w:eastAsia="宋体" w:cs="Times New Roman"/>
                <w:sz w:val="24"/>
                <w:szCs w:val="24"/>
                <w:lang w:eastAsia="zh-CN" w:bidi="ar"/>
              </w:rPr>
            </w:pPr>
            <w:r>
              <w:rPr>
                <w:rFonts w:hint="default" w:ascii="Times New Roman" w:hAnsi="Times New Roman" w:eastAsia="宋体" w:cs="Times New Roman"/>
                <w:sz w:val="28"/>
                <w:szCs w:val="28"/>
                <w:lang w:eastAsia="zh-CN" w:bidi="ar"/>
              </w:rPr>
              <w:t>三、由云溪区环保分局负责“三同时“现场监督和日常环境监管。</w:t>
            </w:r>
          </w:p>
          <w:p>
            <w:pPr>
              <w:pStyle w:val="27"/>
              <w:spacing w:before="7" w:line="360" w:lineRule="auto"/>
              <w:ind w:left="107" w:right="164" w:firstLine="480"/>
              <w:jc w:val="lef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p>
        </w:tc>
      </w:tr>
    </w:tbl>
    <w:p>
      <w:pPr>
        <w:rPr>
          <w:rFonts w:hint="default" w:ascii="Times New Roman" w:hAnsi="Times New Roman" w:eastAsia="宋体" w:cs="Times New Roman"/>
          <w:lang w:eastAsia="zh-CN"/>
        </w:rPr>
      </w:pPr>
    </w:p>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五</w:t>
      </w:r>
    </w:p>
    <w:tbl>
      <w:tblPr>
        <w:tblStyle w:val="19"/>
        <w:tblW w:w="9426"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42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47" w:hRule="atLeast"/>
          <w:jc w:val="center"/>
        </w:trPr>
        <w:tc>
          <w:tcPr>
            <w:tcW w:w="9426" w:type="dxa"/>
            <w:tcBorders>
              <w:tl2br w:val="nil"/>
              <w:tr2bl w:val="nil"/>
            </w:tcBorders>
          </w:tcPr>
          <w:p>
            <w:pPr>
              <w:pStyle w:val="27"/>
              <w:keepNext w:val="0"/>
              <w:keepLines w:val="0"/>
              <w:pageBreakBefore w:val="0"/>
              <w:widowControl w:val="0"/>
              <w:kinsoku/>
              <w:wordWrap/>
              <w:overflowPunct/>
              <w:topLinePunct w:val="0"/>
              <w:bidi w:val="0"/>
              <w:adjustRightInd/>
              <w:snapToGrid/>
              <w:spacing w:line="360" w:lineRule="auto"/>
              <w:ind w:left="107"/>
              <w:contextualSpacing/>
              <w:jc w:val="left"/>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建设项目监测分析严格按照《建设项目环境保护设施竣工验收监测技术要求（试行）》和相关监测技术规范要求进行。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质量保证与质量控制严格执行国家环保局颁发的《环境监测技术规范》和国家有关采样、分析的标准及方法，实施全过程的质量保证。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（1）点位设置：根据项目布局、污染源排放情况，按监测规范要求合理布设监测点位，保证各监测点位的代表性、可比性和科学性。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（2）监测分析方法采用国家和行业标准分析方法，监测人员经过持证上岗考核并持有合格证书，所用监测仪器设备状态正常且均在有效检定周期内。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（3）气体采样仪器使用标准流量计进行流量校准，并按照国家标准、技术规范和质量保证的要求进行全过程质量控制。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（4）噪声监测根据当天的天气情况，在无雨雪、雷电，风速在5m/s以下进行测量，且测量前后使用声校准器校准测量仪器的示值偏差不大于0.5dB。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（5）在监测期间，样品采集、运输、保存均按照环境保护部发布的《环境监测质量管理技术导则》（HJ 630-2011）的要求进行。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（6）实验室分析人员按国家和行业标准分析方法对样品进行分析，正确、真实、齐全、清晰填写实验室分析原始记录，监测数据和实行三级审核制度。</w:t>
            </w:r>
          </w:p>
          <w:p>
            <w:pPr>
              <w:pStyle w:val="10"/>
              <w:keepNext w:val="0"/>
              <w:keepLines w:val="0"/>
              <w:pageBreakBefore w:val="0"/>
              <w:widowControl w:val="0"/>
              <w:kinsoku/>
              <w:wordWrap/>
              <w:overflowPunct/>
              <w:topLinePunct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（7）项目负责人负责报告编制，审核人员负责校对，确保报告中数据与原始数据一致无误。经报告编写人、审核人、签发人三级审核签字后方可报出。</w:t>
            </w:r>
          </w:p>
          <w:p>
            <w:pPr>
              <w:pStyle w:val="10"/>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8"/>
                <w:szCs w:val="28"/>
                <w:lang w:eastAsia="zh-CN"/>
              </w:rPr>
              <w:t>本次验收监测质量保证单见附件</w:t>
            </w:r>
            <w:r>
              <w:rPr>
                <w:rFonts w:hint="eastAsia" w:cs="Times New Roman"/>
                <w:color w:val="auto"/>
                <w:sz w:val="28"/>
                <w:szCs w:val="28"/>
                <w:lang w:val="en-US" w:eastAsia="zh-CN"/>
              </w:rPr>
              <w:t>12</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p>
        </w:tc>
      </w:tr>
    </w:tbl>
    <w:p>
      <w:pPr>
        <w:widowControl/>
        <w:autoSpaceDE/>
        <w:autoSpaceDN/>
        <w:rPr>
          <w:rFonts w:hint="default" w:ascii="Times New Roman" w:hAnsi="Times New Roman" w:eastAsia="宋体" w:cs="Times New Roman"/>
          <w:b/>
          <w:sz w:val="24"/>
          <w:szCs w:val="24"/>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六</w:t>
      </w:r>
    </w:p>
    <w:tbl>
      <w:tblPr>
        <w:tblStyle w:val="19"/>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7" w:hRule="atLeast"/>
          <w:jc w:val="center"/>
        </w:trPr>
        <w:tc>
          <w:tcPr>
            <w:tcW w:w="9374" w:type="dxa"/>
            <w:tcBorders>
              <w:tl2br w:val="nil"/>
              <w:tr2bl w:val="nil"/>
            </w:tcBorders>
          </w:tcPr>
          <w:p>
            <w:pPr>
              <w:pStyle w:val="27"/>
              <w:spacing w:line="374" w:lineRule="exact"/>
              <w:ind w:left="107"/>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b/>
                <w:bCs/>
                <w:sz w:val="28"/>
                <w:szCs w:val="28"/>
                <w:lang w:eastAsia="zh-CN"/>
              </w:rPr>
              <w:t>验收监测内容</w:t>
            </w:r>
            <w:r>
              <w:rPr>
                <w:rFonts w:hint="default" w:ascii="Times New Roman" w:hAnsi="Times New Roman" w:eastAsia="宋体" w:cs="Times New Roman"/>
                <w:sz w:val="28"/>
                <w:szCs w:val="28"/>
                <w:lang w:eastAsia="zh-CN"/>
              </w:rPr>
              <w:t>：</w:t>
            </w:r>
          </w:p>
          <w:p>
            <w:pPr>
              <w:pStyle w:val="28"/>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default" w:ascii="Times New Roman" w:hAnsi="Times New Roman" w:eastAsia="宋体" w:cs="Times New Roman"/>
                <w:b w:val="0"/>
                <w:bCs w:val="0"/>
                <w:sz w:val="28"/>
                <w:szCs w:val="28"/>
                <w:lang w:val="en-US" w:eastAsia="zh-CN"/>
              </w:rPr>
            </w:pPr>
            <w:bookmarkStart w:id="0" w:name="_Toc29999"/>
            <w:bookmarkStart w:id="1" w:name="_Toc850"/>
            <w:r>
              <w:rPr>
                <w:rFonts w:hint="eastAsia" w:ascii="Times New Roman" w:hAnsi="Times New Roman" w:eastAsia="宋体" w:cs="Times New Roman"/>
                <w:b w:val="0"/>
                <w:bCs w:val="0"/>
                <w:sz w:val="28"/>
                <w:szCs w:val="28"/>
                <w:lang w:eastAsia="zh-CN"/>
              </w:rPr>
              <w:t>依据环评要求及实际建设内容，</w:t>
            </w:r>
            <w:r>
              <w:rPr>
                <w:rFonts w:hint="default" w:ascii="Times New Roman" w:hAnsi="Times New Roman" w:eastAsia="宋体" w:cs="Times New Roman"/>
                <w:b w:val="0"/>
                <w:bCs w:val="0"/>
                <w:sz w:val="28"/>
                <w:szCs w:val="28"/>
                <w:lang w:eastAsia="zh-CN"/>
              </w:rPr>
              <w:t>本项目验收监测内容见表</w:t>
            </w:r>
            <w:r>
              <w:rPr>
                <w:rFonts w:hint="eastAsia" w:cs="Times New Roman"/>
                <w:b w:val="0"/>
                <w:bCs w:val="0"/>
                <w:sz w:val="28"/>
                <w:szCs w:val="28"/>
                <w:lang w:val="en-US" w:eastAsia="zh-CN"/>
              </w:rPr>
              <w:t>11</w:t>
            </w:r>
            <w:r>
              <w:rPr>
                <w:rFonts w:hint="default" w:ascii="Times New Roman" w:hAnsi="Times New Roman" w:eastAsia="宋体" w:cs="Times New Roman"/>
                <w:b w:val="0"/>
                <w:bCs w:val="0"/>
                <w:sz w:val="28"/>
                <w:szCs w:val="28"/>
                <w:lang w:val="en-US" w:eastAsia="zh-CN"/>
              </w:rPr>
              <w:t>：</w:t>
            </w:r>
          </w:p>
          <w:p>
            <w:pPr>
              <w:pStyle w:val="28"/>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11</w:t>
            </w:r>
            <w:r>
              <w:rPr>
                <w:rFonts w:hint="default" w:ascii="Times New Roman" w:hAnsi="Times New Roman" w:eastAsia="宋体" w:cs="Times New Roman"/>
                <w:b/>
                <w:bCs/>
                <w:sz w:val="24"/>
                <w:szCs w:val="24"/>
                <w:lang w:eastAsia="zh-CN"/>
              </w:rPr>
              <w:t xml:space="preserve">  验收监测工作内容一览表</w:t>
            </w:r>
          </w:p>
          <w:tbl>
            <w:tblPr>
              <w:tblStyle w:val="39"/>
              <w:tblW w:w="4996"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41"/>
              <w:gridCol w:w="1472"/>
              <w:gridCol w:w="1388"/>
              <w:gridCol w:w="2593"/>
              <w:gridCol w:w="2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b/>
                      <w:bCs/>
                    </w:rPr>
                  </w:pPr>
                  <w:r>
                    <w:rPr>
                      <w:rFonts w:hint="default" w:ascii="Times New Roman" w:hAnsi="Times New Roman" w:eastAsia="宋体"/>
                      <w:b/>
                      <w:bCs/>
                    </w:rPr>
                    <w:t>类别</w:t>
                  </w:r>
                </w:p>
              </w:tc>
              <w:tc>
                <w:tcPr>
                  <w:tcW w:w="2021" w:type="pct"/>
                  <w:gridSpan w:val="3"/>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b/>
                      <w:bCs/>
                    </w:rPr>
                  </w:pPr>
                  <w:r>
                    <w:rPr>
                      <w:rFonts w:hint="default" w:ascii="Times New Roman" w:hAnsi="Times New Roman" w:eastAsia="宋体"/>
                      <w:b/>
                      <w:bCs/>
                    </w:rPr>
                    <w:t>监测布点</w:t>
                  </w:r>
                </w:p>
              </w:tc>
              <w:tc>
                <w:tcPr>
                  <w:tcW w:w="1416"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b/>
                      <w:bCs/>
                    </w:rPr>
                  </w:pPr>
                  <w:r>
                    <w:rPr>
                      <w:rFonts w:hint="default" w:ascii="Times New Roman" w:hAnsi="Times New Roman" w:eastAsia="宋体"/>
                      <w:b/>
                      <w:bCs/>
                    </w:rPr>
                    <w:t>监测因子</w:t>
                  </w:r>
                </w:p>
              </w:tc>
              <w:tc>
                <w:tcPr>
                  <w:tcW w:w="109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b/>
                      <w:bCs/>
                    </w:rPr>
                  </w:pPr>
                  <w:r>
                    <w:rPr>
                      <w:rFonts w:hint="default" w:ascii="Times New Roman" w:hAnsi="Times New Roman" w:eastAsia="宋体"/>
                      <w:b/>
                      <w:bCs/>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rPr>
                    <w:t>废水</w:t>
                  </w:r>
                </w:p>
              </w:tc>
              <w:tc>
                <w:tcPr>
                  <w:tcW w:w="1263" w:type="pct"/>
                  <w:gridSpan w:val="2"/>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eastAsia"/>
                      <w:lang w:val="en-US" w:eastAsia="zh-CN"/>
                    </w:rPr>
                    <w:t>生活污水出水口</w:t>
                  </w:r>
                </w:p>
              </w:tc>
              <w:tc>
                <w:tcPr>
                  <w:tcW w:w="758"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default" w:ascii="Times New Roman" w:hAnsi="Times New Roman" w:eastAsia="宋体"/>
                      <w:lang w:val="en-US" w:eastAsia="zh-CN"/>
                    </w:rPr>
                    <w:t>W</w:t>
                  </w:r>
                  <w:r>
                    <w:rPr>
                      <w:rFonts w:hint="default" w:ascii="Times New Roman" w:hAnsi="Times New Roman" w:eastAsia="宋体"/>
                      <w:vertAlign w:val="subscript"/>
                      <w:lang w:val="en-US" w:eastAsia="zh-CN"/>
                    </w:rPr>
                    <w:t>1</w:t>
                  </w:r>
                </w:p>
              </w:tc>
              <w:tc>
                <w:tcPr>
                  <w:tcW w:w="1416"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eastAsia"/>
                      <w:lang w:val="en-US" w:eastAsia="zh-CN"/>
                    </w:rPr>
                    <w:t>pH、</w:t>
                  </w:r>
                  <w:r>
                    <w:rPr>
                      <w:rFonts w:hint="default" w:ascii="Times New Roman" w:hAnsi="Times New Roman" w:eastAsia="宋体"/>
                    </w:rPr>
                    <w:t>COD</w:t>
                  </w:r>
                  <w:r>
                    <w:rPr>
                      <w:rFonts w:hint="default" w:ascii="Times New Roman" w:hAnsi="Times New Roman" w:eastAsia="宋体"/>
                      <w:vertAlign w:val="subscript"/>
                    </w:rPr>
                    <w:t>Cr</w:t>
                  </w:r>
                  <w:r>
                    <w:rPr>
                      <w:rFonts w:hint="eastAsia" w:ascii="Times New Roman" w:hAnsi="Times New Roman" w:eastAsia="宋体"/>
                      <w:lang w:eastAsia="zh-CN"/>
                    </w:rPr>
                    <w:t>、</w:t>
                  </w: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r>
                    <w:rPr>
                      <w:rFonts w:hint="eastAsia" w:ascii="Times New Roman" w:hAnsi="Times New Roman" w:cs="Times New Roman" w:eastAsiaTheme="minorEastAsia"/>
                      <w:color w:val="auto"/>
                      <w:sz w:val="21"/>
                      <w:szCs w:val="21"/>
                      <w:vertAlign w:val="baseline"/>
                      <w:lang w:eastAsia="zh-CN"/>
                    </w:rPr>
                    <w:t>、</w:t>
                  </w:r>
                  <w:r>
                    <w:rPr>
                      <w:rFonts w:hint="eastAsia" w:ascii="Times New Roman" w:hAnsi="Times New Roman" w:eastAsia="宋体"/>
                      <w:lang w:eastAsia="zh-CN"/>
                    </w:rPr>
                    <w:t>氨氮</w:t>
                  </w:r>
                  <w:r>
                    <w:rPr>
                      <w:rFonts w:hint="eastAsia"/>
                      <w:lang w:eastAsia="zh-CN"/>
                    </w:rPr>
                    <w:t>、</w:t>
                  </w:r>
                  <w:r>
                    <w:rPr>
                      <w:rFonts w:hint="eastAsia"/>
                      <w:lang w:val="en-US" w:eastAsia="zh-CN"/>
                    </w:rPr>
                    <w:t>石油类、SS</w:t>
                  </w:r>
                </w:p>
              </w:tc>
              <w:tc>
                <w:tcPr>
                  <w:tcW w:w="109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default" w:ascii="Times New Roman" w:hAnsi="Times New Roman" w:eastAsia="宋体"/>
                      <w:lang w:val="en-US" w:eastAsia="zh-CN"/>
                    </w:rPr>
                    <w:t>监测2天，每天</w:t>
                  </w:r>
                  <w:r>
                    <w:rPr>
                      <w:rFonts w:hint="eastAsia" w:ascii="Times New Roman" w:hAnsi="Times New Roman" w:eastAsia="宋体"/>
                      <w:lang w:val="en-US" w:eastAsia="zh-CN"/>
                    </w:rPr>
                    <w:t>4</w:t>
                  </w:r>
                  <w:r>
                    <w:rPr>
                      <w:rFonts w:hint="default" w:ascii="Times New Roman" w:hAnsi="Times New Roman" w:eastAsia="宋体"/>
                      <w:lang w:val="en-US" w:eastAsia="zh-CN"/>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rPr>
                    <w:t>废气</w:t>
                  </w:r>
                </w:p>
              </w:tc>
              <w:tc>
                <w:tcPr>
                  <w:tcW w:w="459"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default" w:ascii="Times New Roman" w:hAnsi="Times New Roman" w:eastAsia="宋体"/>
                    </w:rPr>
                    <w:t>无组织</w:t>
                  </w:r>
                  <w:r>
                    <w:rPr>
                      <w:rFonts w:hint="default" w:ascii="Times New Roman" w:hAnsi="Times New Roman" w:eastAsia="宋体"/>
                      <w:lang w:val="en-US" w:eastAsia="zh-CN"/>
                    </w:rPr>
                    <w:t>废气</w:t>
                  </w:r>
                </w:p>
              </w:tc>
              <w:tc>
                <w:tcPr>
                  <w:tcW w:w="804"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eastAsia" w:ascii="Times New Roman" w:hAnsi="Times New Roman" w:eastAsia="宋体"/>
                      <w:lang w:eastAsia="zh-CN"/>
                    </w:rPr>
                    <w:t>厂界下风向侧</w:t>
                  </w:r>
                </w:p>
              </w:tc>
              <w:tc>
                <w:tcPr>
                  <w:tcW w:w="758"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eastAsia"/>
                      <w:lang w:val="en-US" w:eastAsia="zh-CN"/>
                    </w:rPr>
                    <w:t>G</w:t>
                  </w:r>
                  <w:r>
                    <w:rPr>
                      <w:rFonts w:hint="default" w:ascii="Times New Roman" w:hAnsi="Times New Roman" w:eastAsia="宋体"/>
                      <w:vertAlign w:val="subscript"/>
                    </w:rPr>
                    <w:t>1</w:t>
                  </w:r>
                  <w:r>
                    <w:rPr>
                      <w:rFonts w:hint="default" w:ascii="Times New Roman" w:hAnsi="Times New Roman" w:eastAsia="宋体"/>
                      <w:lang w:eastAsia="zh-CN"/>
                    </w:rPr>
                    <w:t>、</w:t>
                  </w:r>
                  <w:r>
                    <w:rPr>
                      <w:rFonts w:hint="eastAsia"/>
                      <w:lang w:val="en-US" w:eastAsia="zh-CN"/>
                    </w:rPr>
                    <w:t>G</w:t>
                  </w:r>
                  <w:r>
                    <w:rPr>
                      <w:rFonts w:hint="default" w:ascii="Times New Roman" w:hAnsi="Times New Roman" w:eastAsia="宋体"/>
                      <w:vertAlign w:val="subscript"/>
                      <w:lang w:val="en-US" w:eastAsia="zh-CN"/>
                    </w:rPr>
                    <w:t>2</w:t>
                  </w:r>
                  <w:r>
                    <w:rPr>
                      <w:rFonts w:hint="default" w:ascii="Times New Roman" w:hAnsi="Times New Roman" w:eastAsia="宋体"/>
                      <w:lang w:val="en-US" w:eastAsia="zh-CN"/>
                    </w:rPr>
                    <w:t>、</w:t>
                  </w:r>
                  <w:r>
                    <w:rPr>
                      <w:rFonts w:hint="eastAsia"/>
                      <w:lang w:val="en-US" w:eastAsia="zh-CN"/>
                    </w:rPr>
                    <w:t>G</w:t>
                  </w:r>
                  <w:r>
                    <w:rPr>
                      <w:rFonts w:hint="default" w:ascii="Times New Roman" w:hAnsi="Times New Roman" w:eastAsia="宋体"/>
                      <w:vertAlign w:val="subscript"/>
                      <w:lang w:val="en-US" w:eastAsia="zh-CN"/>
                    </w:rPr>
                    <w:t>3</w:t>
                  </w:r>
                </w:p>
              </w:tc>
              <w:tc>
                <w:tcPr>
                  <w:tcW w:w="1416"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eastAsia="zh-CN"/>
                    </w:rPr>
                  </w:pPr>
                  <w:r>
                    <w:rPr>
                      <w:rFonts w:hint="eastAsia"/>
                      <w:lang w:val="en-US" w:eastAsia="zh-CN"/>
                    </w:rPr>
                    <w:t>颗粒</w:t>
                  </w:r>
                  <w:r>
                    <w:rPr>
                      <w:rFonts w:hint="eastAsia"/>
                      <w:color w:val="auto"/>
                      <w:lang w:val="en-US" w:eastAsia="zh-CN"/>
                    </w:rPr>
                    <w:t>物</w:t>
                  </w:r>
                  <w:r>
                    <w:rPr>
                      <w:rFonts w:hint="default" w:ascii="Times New Roman" w:hAnsi="Times New Roman" w:eastAsia="宋体"/>
                      <w:color w:val="auto"/>
                      <w:lang w:val="en-US" w:eastAsia="zh-CN"/>
                    </w:rPr>
                    <w:t>、</w:t>
                  </w:r>
                  <w:r>
                    <w:rPr>
                      <w:rFonts w:hint="eastAsia"/>
                      <w:color w:val="auto"/>
                      <w:lang w:val="en-US" w:eastAsia="zh-CN"/>
                    </w:rPr>
                    <w:t>CO</w:t>
                  </w:r>
                  <w:r>
                    <w:rPr>
                      <w:rFonts w:hint="default" w:ascii="Times New Roman" w:hAnsi="Times New Roman" w:eastAsia="宋体"/>
                      <w:color w:val="auto"/>
                      <w:lang w:val="en-US" w:eastAsia="zh-CN"/>
                    </w:rPr>
                    <w:t>、</w:t>
                  </w:r>
                  <w:r>
                    <w:rPr>
                      <w:rFonts w:hint="eastAsia"/>
                      <w:color w:val="auto"/>
                      <w:lang w:val="en-US" w:eastAsia="zh-CN"/>
                    </w:rPr>
                    <w:t>NOx</w:t>
                  </w:r>
                  <w:r>
                    <w:rPr>
                      <w:rFonts w:hint="eastAsia"/>
                      <w:lang w:val="en-US" w:eastAsia="zh-CN"/>
                    </w:rPr>
                    <w:t>、非甲烷总烃</w:t>
                  </w:r>
                </w:p>
              </w:tc>
              <w:tc>
                <w:tcPr>
                  <w:tcW w:w="109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lang w:val="en-US"/>
                    </w:rPr>
                  </w:pPr>
                  <w:r>
                    <w:rPr>
                      <w:rFonts w:hint="eastAsia" w:ascii="Times New Roman" w:hAnsi="Times New Roman" w:eastAsia="宋体"/>
                      <w:lang w:val="en-US" w:eastAsia="zh-CN"/>
                    </w:rPr>
                    <w:t>监测2天，每2小时采一次，每天共采四次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rPr>
                    <w:t>噪声</w:t>
                  </w:r>
                </w:p>
              </w:tc>
              <w:tc>
                <w:tcPr>
                  <w:tcW w:w="1263" w:type="pct"/>
                  <w:gridSpan w:val="2"/>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eastAsia"/>
                      <w:lang w:val="en-US" w:eastAsia="zh-CN"/>
                    </w:rPr>
                    <w:t>厂界四周</w:t>
                  </w:r>
                  <w:r>
                    <w:rPr>
                      <w:rFonts w:hint="default" w:ascii="Times New Roman" w:hAnsi="Times New Roman" w:eastAsia="宋体"/>
                    </w:rPr>
                    <w:t>，共4个点</w:t>
                  </w:r>
                </w:p>
              </w:tc>
              <w:tc>
                <w:tcPr>
                  <w:tcW w:w="758"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lang w:val="en-US" w:eastAsia="zh-CN"/>
                    </w:rPr>
                    <w:t>N</w:t>
                  </w:r>
                  <w:r>
                    <w:rPr>
                      <w:rFonts w:hint="default" w:ascii="Times New Roman" w:hAnsi="Times New Roman" w:eastAsia="宋体"/>
                      <w:vertAlign w:val="subscript"/>
                    </w:rPr>
                    <w:t>1</w:t>
                  </w:r>
                  <w:r>
                    <w:rPr>
                      <w:rFonts w:hint="default" w:ascii="Times New Roman" w:hAnsi="Times New Roman" w:eastAsia="宋体"/>
                    </w:rPr>
                    <w:t>、</w:t>
                  </w:r>
                  <w:r>
                    <w:rPr>
                      <w:rFonts w:hint="default" w:ascii="Times New Roman" w:hAnsi="Times New Roman" w:eastAsia="宋体"/>
                      <w:lang w:val="en-US" w:eastAsia="zh-CN"/>
                    </w:rPr>
                    <w:t>N</w:t>
                  </w:r>
                  <w:r>
                    <w:rPr>
                      <w:rFonts w:hint="default" w:ascii="Times New Roman" w:hAnsi="Times New Roman" w:eastAsia="宋体"/>
                      <w:vertAlign w:val="subscript"/>
                    </w:rPr>
                    <w:t>2</w:t>
                  </w:r>
                  <w:r>
                    <w:rPr>
                      <w:rFonts w:hint="default" w:ascii="Times New Roman" w:hAnsi="Times New Roman" w:eastAsia="宋体"/>
                    </w:rPr>
                    <w:t>、</w:t>
                  </w:r>
                  <w:r>
                    <w:rPr>
                      <w:rFonts w:hint="default" w:ascii="Times New Roman" w:hAnsi="Times New Roman" w:eastAsia="宋体"/>
                      <w:lang w:val="en-US" w:eastAsia="zh-CN"/>
                    </w:rPr>
                    <w:t>N</w:t>
                  </w:r>
                  <w:r>
                    <w:rPr>
                      <w:rFonts w:hint="default" w:ascii="Times New Roman" w:hAnsi="Times New Roman" w:eastAsia="宋体"/>
                      <w:vertAlign w:val="subscript"/>
                    </w:rPr>
                    <w:t>3</w:t>
                  </w:r>
                  <w:r>
                    <w:rPr>
                      <w:rFonts w:hint="default" w:ascii="Times New Roman" w:hAnsi="Times New Roman" w:eastAsia="宋体"/>
                    </w:rPr>
                    <w:t>、</w:t>
                  </w:r>
                  <w:r>
                    <w:rPr>
                      <w:rFonts w:hint="default" w:ascii="Times New Roman" w:hAnsi="Times New Roman" w:eastAsia="宋体"/>
                      <w:lang w:val="en-US" w:eastAsia="zh-CN"/>
                    </w:rPr>
                    <w:t>N</w:t>
                  </w:r>
                  <w:r>
                    <w:rPr>
                      <w:rFonts w:hint="default" w:ascii="Times New Roman" w:hAnsi="Times New Roman" w:eastAsia="宋体"/>
                      <w:vertAlign w:val="subscript"/>
                    </w:rPr>
                    <w:t>4</w:t>
                  </w:r>
                </w:p>
              </w:tc>
              <w:tc>
                <w:tcPr>
                  <w:tcW w:w="1416"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rPr>
                    <w:t>等效连续A声级</w:t>
                  </w:r>
                </w:p>
              </w:tc>
              <w:tc>
                <w:tcPr>
                  <w:tcW w:w="1095"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rPr>
                  </w:pPr>
                  <w:r>
                    <w:rPr>
                      <w:rFonts w:hint="default" w:ascii="Times New Roman" w:hAnsi="Times New Roman" w:eastAsia="宋体"/>
                    </w:rPr>
                    <w:t>监测2天，昼夜各1次</w:t>
                  </w:r>
                </w:p>
              </w:tc>
            </w:tr>
            <w:bookmarkEnd w:id="0"/>
            <w:bookmarkEnd w:id="1"/>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b/>
                <w:bCs w:val="0"/>
                <w:color w:val="auto"/>
                <w:sz w:val="21"/>
                <w:szCs w:val="21"/>
                <w:u w:val="none" w:color="auto"/>
                <w:lang w:val="en-US" w:eastAsia="zh-CN"/>
              </w:rPr>
            </w:pPr>
            <w:r>
              <w:rPr>
                <w:rFonts w:hint="eastAsia" w:ascii="Times New Roman" w:hAnsi="Times New Roman" w:cs="Times New Roman"/>
                <w:b/>
                <w:bCs w:val="0"/>
                <w:color w:val="auto"/>
                <w:sz w:val="21"/>
                <w:szCs w:val="21"/>
                <w:u w:val="none" w:color="auto"/>
                <w:lang w:val="en-US" w:eastAsia="zh-CN"/>
              </w:rPr>
              <w:t>注：1、本项目食堂油烟已安装符合要求的油烟净化器，根据《饮食业油烟排放标准》试行(1318483-2001 )7.1安装并正常运行符合要求的油烟净化设施视同达标。本项目已安装符合要求的油烟净化设施，（合格证见附件11），因此本次不再监测油烟废气达标情况。</w:t>
            </w:r>
          </w:p>
          <w:p>
            <w:pPr>
              <w:pStyle w:val="28"/>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left"/>
              <w:textAlignment w:val="auto"/>
              <w:rPr>
                <w:rFonts w:hint="default" w:ascii="Times New Roman" w:hAnsi="Times New Roman" w:eastAsia="宋体" w:cs="Times New Roman"/>
                <w:b/>
                <w:bCs w:val="0"/>
                <w:color w:val="auto"/>
                <w:kern w:val="0"/>
                <w:sz w:val="21"/>
                <w:szCs w:val="21"/>
                <w:u w:val="none" w:color="auto"/>
                <w:lang w:val="en-US" w:eastAsia="zh-CN" w:bidi="ar-SA"/>
              </w:rPr>
            </w:pPr>
            <w:r>
              <w:rPr>
                <w:rFonts w:hint="eastAsia" w:ascii="Times New Roman" w:hAnsi="Times New Roman" w:eastAsia="宋体" w:cs="Times New Roman"/>
                <w:b/>
                <w:bCs w:val="0"/>
                <w:color w:val="auto"/>
                <w:kern w:val="0"/>
                <w:sz w:val="21"/>
                <w:szCs w:val="21"/>
                <w:u w:val="none" w:color="auto"/>
                <w:lang w:val="en-US" w:eastAsia="zh-CN" w:bidi="ar-SA"/>
              </w:rPr>
              <w:t>2、经过采样人员现场勘查，项目生活污水进水口，无废水采样条件，因此未进行</w:t>
            </w:r>
            <w:r>
              <w:rPr>
                <w:rFonts w:hint="eastAsia" w:cs="Times New Roman"/>
                <w:b/>
                <w:bCs w:val="0"/>
                <w:color w:val="auto"/>
                <w:kern w:val="0"/>
                <w:sz w:val="21"/>
                <w:szCs w:val="21"/>
                <w:u w:val="none" w:color="auto"/>
                <w:lang w:val="en-US" w:eastAsia="zh-CN" w:bidi="ar-SA"/>
              </w:rPr>
              <w:t>进水口</w:t>
            </w:r>
            <w:r>
              <w:rPr>
                <w:rFonts w:hint="eastAsia" w:ascii="Times New Roman" w:hAnsi="Times New Roman" w:eastAsia="宋体" w:cs="Times New Roman"/>
                <w:b/>
                <w:bCs w:val="0"/>
                <w:color w:val="auto"/>
                <w:kern w:val="0"/>
                <w:sz w:val="21"/>
                <w:szCs w:val="21"/>
                <w:u w:val="none" w:color="auto"/>
                <w:lang w:val="en-US" w:eastAsia="zh-CN" w:bidi="ar-SA"/>
              </w:rPr>
              <w:t>监测。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 w:val="0"/>
                <w:bCs/>
                <w:color w:val="auto"/>
                <w:sz w:val="28"/>
                <w:szCs w:val="28"/>
                <w:u w:val="none" w:color="auto"/>
                <w:lang w:eastAsia="zh-CN"/>
              </w:rPr>
            </w:pPr>
            <w:r>
              <w:rPr>
                <w:rFonts w:hint="default" w:ascii="Times New Roman" w:hAnsi="Times New Roman" w:eastAsia="宋体" w:cs="Times New Roman"/>
                <w:b w:val="0"/>
                <w:bCs/>
                <w:color w:val="auto"/>
                <w:sz w:val="28"/>
                <w:szCs w:val="28"/>
                <w:u w:val="none" w:color="auto"/>
                <w:lang w:eastAsia="zh-CN"/>
              </w:rPr>
              <w:t>本项目验收</w:t>
            </w:r>
            <w:r>
              <w:rPr>
                <w:rFonts w:hint="default" w:ascii="Times New Roman" w:hAnsi="Times New Roman" w:eastAsia="宋体" w:cs="Times New Roman"/>
                <w:b w:val="0"/>
                <w:bCs/>
                <w:color w:val="auto"/>
                <w:sz w:val="28"/>
                <w:szCs w:val="28"/>
                <w:u w:val="none" w:color="auto"/>
              </w:rPr>
              <w:t>监测分析方法</w:t>
            </w:r>
            <w:r>
              <w:rPr>
                <w:rFonts w:hint="default" w:ascii="Times New Roman" w:hAnsi="Times New Roman" w:eastAsia="宋体" w:cs="Times New Roman"/>
                <w:b w:val="0"/>
                <w:bCs/>
                <w:color w:val="auto"/>
                <w:sz w:val="28"/>
                <w:szCs w:val="28"/>
                <w:u w:val="none" w:color="auto"/>
                <w:lang w:eastAsia="zh-CN"/>
              </w:rPr>
              <w:t>：</w:t>
            </w:r>
          </w:p>
          <w:p>
            <w:pPr>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cs="Times New Roman"/>
                <w:b/>
                <w:color w:val="auto"/>
                <w:sz w:val="24"/>
                <w:szCs w:val="24"/>
                <w:u w:val="none" w:color="auto"/>
                <w:lang w:val="en-US" w:eastAsia="zh-CN"/>
              </w:rPr>
              <w:t>12</w:t>
            </w:r>
            <w:r>
              <w:rPr>
                <w:rFonts w:hint="default"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监测分析方法和主要仪器一览表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63"/>
              <w:gridCol w:w="1197"/>
              <w:gridCol w:w="3526"/>
              <w:gridCol w:w="2393"/>
              <w:gridCol w:w="12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类别</w:t>
                  </w:r>
                </w:p>
              </w:tc>
              <w:tc>
                <w:tcPr>
                  <w:tcW w:w="653"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分析</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项目</w:t>
                  </w:r>
                </w:p>
              </w:tc>
              <w:tc>
                <w:tcPr>
                  <w:tcW w:w="1924"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分析方法及方法来源</w:t>
                  </w:r>
                </w:p>
              </w:tc>
              <w:tc>
                <w:tcPr>
                  <w:tcW w:w="130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使用仪器</w:t>
                  </w:r>
                </w:p>
              </w:tc>
              <w:tc>
                <w:tcPr>
                  <w:tcW w:w="698"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最低检</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废水</w:t>
                  </w: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pH</w:t>
                  </w:r>
                </w:p>
              </w:tc>
              <w:tc>
                <w:tcPr>
                  <w:tcW w:w="192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i w:val="0"/>
                      <w:color w:val="000000"/>
                      <w:kern w:val="0"/>
                      <w:sz w:val="21"/>
                      <w:szCs w:val="21"/>
                      <w:highlight w:val="none"/>
                      <w:u w:val="none"/>
                      <w:lang w:val="en-US" w:eastAsia="zh-CN" w:bidi="ar"/>
                    </w:rPr>
                    <w:t>《水和废水监测分析方法》(第四版增补版）国家环境保护总局 2002年 便携式pH计法（B） 3.1.6（2）</w:t>
                  </w:r>
                </w:p>
              </w:tc>
              <w:tc>
                <w:tcPr>
                  <w:tcW w:w="130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多参数分析仪</w:t>
                  </w:r>
                </w:p>
              </w:tc>
              <w:tc>
                <w:tcPr>
                  <w:tcW w:w="6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i w:val="0"/>
                      <w:color w:val="000000"/>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化学需氧量</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b w:val="0"/>
                      <w:kern w:val="2"/>
                      <w:sz w:val="21"/>
                      <w:szCs w:val="21"/>
                      <w:vertAlign w:val="baseline"/>
                      <w:lang w:val="en-US" w:eastAsia="zh-CN"/>
                    </w:rPr>
                    <w:t>《水质</w:t>
                  </w:r>
                  <w:r>
                    <w:rPr>
                      <w:rFonts w:hint="eastAsia" w:ascii="Times New Roman" w:hAnsi="Times New Roman" w:cs="Times New Roman" w:eastAsiaTheme="minorEastAsia"/>
                      <w:b w:val="0"/>
                      <w:kern w:val="2"/>
                      <w:sz w:val="21"/>
                      <w:szCs w:val="21"/>
                      <w:vertAlign w:val="baseline"/>
                      <w:lang w:val="en-US" w:eastAsia="zh-CN"/>
                    </w:rPr>
                    <w:t xml:space="preserve"> </w:t>
                  </w:r>
                  <w:r>
                    <w:rPr>
                      <w:rFonts w:hint="default" w:ascii="Times New Roman" w:hAnsi="Times New Roman" w:cs="Times New Roman" w:eastAsiaTheme="minorEastAsia"/>
                      <w:b w:val="0"/>
                      <w:kern w:val="2"/>
                      <w:sz w:val="21"/>
                      <w:szCs w:val="21"/>
                      <w:vertAlign w:val="baseline"/>
                      <w:lang w:val="en-US" w:eastAsia="zh-CN"/>
                    </w:rPr>
                    <w:t>化学需氧量的测定</w:t>
                  </w:r>
                  <w:r>
                    <w:rPr>
                      <w:rFonts w:hint="eastAsia" w:ascii="Times New Roman" w:hAnsi="Times New Roman" w:cs="Times New Roman" w:eastAsiaTheme="minorEastAsia"/>
                      <w:b w:val="0"/>
                      <w:kern w:val="2"/>
                      <w:sz w:val="21"/>
                      <w:szCs w:val="21"/>
                      <w:vertAlign w:val="baseline"/>
                      <w:lang w:val="en-US" w:eastAsia="zh-CN"/>
                    </w:rPr>
                    <w:t xml:space="preserve"> </w:t>
                  </w:r>
                  <w:r>
                    <w:rPr>
                      <w:rFonts w:hint="default" w:ascii="Times New Roman" w:hAnsi="Times New Roman" w:cs="Times New Roman" w:eastAsiaTheme="minorEastAsia"/>
                      <w:b w:val="0"/>
                      <w:kern w:val="2"/>
                      <w:sz w:val="21"/>
                      <w:szCs w:val="21"/>
                      <w:vertAlign w:val="baseline"/>
                      <w:lang w:val="en-US" w:eastAsia="zh-CN"/>
                    </w:rPr>
                    <w:t>重铬酸钾法》</w:t>
                  </w:r>
                  <w:r>
                    <w:rPr>
                      <w:rFonts w:hint="default" w:ascii="Times New Roman" w:hAnsi="Times New Roman" w:cs="Times New Roman" w:eastAsiaTheme="minorEastAsia"/>
                      <w:b w:val="0"/>
                      <w:kern w:val="2"/>
                      <w:sz w:val="21"/>
                      <w:szCs w:val="21"/>
                      <w:vertAlign w:val="baseline"/>
                      <w:lang w:val="en-US" w:eastAsia="zh-CN"/>
                    </w:rPr>
                    <w:fldChar w:fldCharType="begin"/>
                  </w:r>
                  <w:r>
                    <w:rPr>
                      <w:rFonts w:hint="default" w:ascii="Times New Roman" w:hAnsi="Times New Roman" w:cs="Times New Roman" w:eastAsiaTheme="minorEastAsia"/>
                      <w:b w:val="0"/>
                      <w:kern w:val="2"/>
                      <w:sz w:val="21"/>
                      <w:szCs w:val="21"/>
                      <w:vertAlign w:val="baseline"/>
                      <w:lang w:val="en-US" w:eastAsia="zh-CN"/>
                    </w:rPr>
                    <w:instrText xml:space="preserve"> HYPERLINK "http://www.baidu.com/link?url=JlUgrcCjxXuT0Ge_b3YkGiU8BjGu2YPkV2c7AyWmG7SFLIX48vc-6wq4u_jBhSWHn2n39VV_a8pnGyKr8FSFXK" \t "https://www.baidu.com/_blank" </w:instrText>
                  </w:r>
                  <w:r>
                    <w:rPr>
                      <w:rFonts w:hint="default" w:ascii="Times New Roman" w:hAnsi="Times New Roman" w:cs="Times New Roman" w:eastAsiaTheme="minorEastAsia"/>
                      <w:b w:val="0"/>
                      <w:kern w:val="2"/>
                      <w:sz w:val="21"/>
                      <w:szCs w:val="21"/>
                      <w:vertAlign w:val="baseline"/>
                      <w:lang w:val="en-US" w:eastAsia="zh-CN"/>
                    </w:rPr>
                    <w:fldChar w:fldCharType="separate"/>
                  </w:r>
                  <w:r>
                    <w:rPr>
                      <w:rFonts w:hint="default" w:ascii="Times New Roman" w:hAnsi="Times New Roman" w:cs="Times New Roman" w:eastAsiaTheme="minorEastAsia"/>
                      <w:b w:val="0"/>
                      <w:kern w:val="2"/>
                      <w:sz w:val="21"/>
                      <w:szCs w:val="21"/>
                      <w:vertAlign w:val="baseline"/>
                      <w:lang w:val="en-US" w:eastAsia="zh-CN"/>
                    </w:rPr>
                    <w:t>HJ 828-2017</w:t>
                  </w:r>
                  <w:r>
                    <w:rPr>
                      <w:rFonts w:hint="default" w:ascii="Times New Roman" w:hAnsi="Times New Roman" w:cs="Times New Roman" w:eastAsiaTheme="minorEastAsia"/>
                      <w:b w:val="0"/>
                      <w:kern w:val="2"/>
                      <w:sz w:val="21"/>
                      <w:szCs w:val="21"/>
                      <w:vertAlign w:val="baseline"/>
                      <w:lang w:val="en-US" w:eastAsia="zh-CN"/>
                    </w:rPr>
                    <w:fldChar w:fldCharType="end"/>
                  </w:r>
                </w:p>
              </w:tc>
              <w:tc>
                <w:tcPr>
                  <w:tcW w:w="1306"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滴定管</w:t>
                  </w:r>
                </w:p>
              </w:tc>
              <w:tc>
                <w:tcPr>
                  <w:tcW w:w="69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b w:val="0"/>
                      <w:kern w:val="2"/>
                      <w:sz w:val="21"/>
                      <w:szCs w:val="21"/>
                      <w:vertAlign w:val="baseline"/>
                      <w:lang w:val="en-US" w:eastAsia="zh-CN"/>
                    </w:rPr>
                    <w:t>4mg/L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生化需氧量</w:t>
                  </w:r>
                </w:p>
              </w:tc>
              <w:tc>
                <w:tcPr>
                  <w:tcW w:w="192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《水质 五日生化需氧量的测定 稀释与接种法》HJ505-2009</w:t>
                  </w:r>
                </w:p>
              </w:tc>
              <w:tc>
                <w:tcPr>
                  <w:tcW w:w="13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生化培养箱SPX-150</w:t>
                  </w:r>
                </w:p>
              </w:tc>
              <w:tc>
                <w:tcPr>
                  <w:tcW w:w="6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0.5mg/L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氨氮</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 xml:space="preserve">《水质 氨氮的测定》纳氏试剂光度法HJ535-2009                  </w:t>
                  </w:r>
                </w:p>
              </w:tc>
              <w:tc>
                <w:tcPr>
                  <w:tcW w:w="1306"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北京普析紫外可见分光光度计</w:t>
                  </w:r>
                </w:p>
              </w:tc>
              <w:tc>
                <w:tcPr>
                  <w:tcW w:w="69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0.025mg/L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石油类</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《水质  石油类和动植物油类的测定 红外分光光度法》HJ637-2018</w:t>
                  </w:r>
                </w:p>
              </w:tc>
              <w:tc>
                <w:tcPr>
                  <w:tcW w:w="1306"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红外分光测油仪JLBG-126</w:t>
                  </w:r>
                </w:p>
              </w:tc>
              <w:tc>
                <w:tcPr>
                  <w:tcW w:w="69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color w:val="FF0000"/>
                      <w:kern w:val="2"/>
                      <w:sz w:val="21"/>
                      <w:szCs w:val="21"/>
                      <w:lang w:val="en-US" w:eastAsia="zh-CN" w:bidi="ar-SA"/>
                    </w:rPr>
                  </w:pPr>
                  <w:r>
                    <w:rPr>
                      <w:rFonts w:hint="default" w:ascii="Times New Roman" w:hAnsi="Times New Roman" w:cs="Times New Roman" w:eastAsiaTheme="minorEastAsia"/>
                      <w:sz w:val="21"/>
                      <w:szCs w:val="21"/>
                      <w:vertAlign w:val="baseline"/>
                      <w:lang w:val="en-US" w:eastAsia="zh-CN"/>
                    </w:rPr>
                    <w:t>0.04mg/L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sz w:val="21"/>
                      <w:szCs w:val="21"/>
                      <w:vertAlign w:val="baseline"/>
                      <w:lang w:val="en-US" w:eastAsia="zh-CN"/>
                    </w:rPr>
                    <w:t>悬浮物</w:t>
                  </w:r>
                </w:p>
              </w:tc>
              <w:tc>
                <w:tcPr>
                  <w:tcW w:w="192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《水质</w:t>
                  </w:r>
                  <w:r>
                    <w:rPr>
                      <w:rFonts w:hint="eastAsia" w:ascii="Times New Roman" w:hAnsi="Times New Roman" w:cs="Times New Roman" w:eastAsiaTheme="minorEastAsia"/>
                      <w:sz w:val="21"/>
                      <w:szCs w:val="21"/>
                      <w:vertAlign w:val="baseline"/>
                      <w:lang w:val="en-US" w:eastAsia="zh-CN"/>
                    </w:rPr>
                    <w:t xml:space="preserve"> </w:t>
                  </w:r>
                  <w:r>
                    <w:rPr>
                      <w:rFonts w:hint="default" w:ascii="Times New Roman" w:hAnsi="Times New Roman" w:cs="Times New Roman" w:eastAsiaTheme="minorEastAsia"/>
                      <w:sz w:val="21"/>
                      <w:szCs w:val="21"/>
                      <w:vertAlign w:val="baseline"/>
                      <w:lang w:val="en-US" w:eastAsia="zh-CN"/>
                    </w:rPr>
                    <w:t>悬浮物的测定</w:t>
                  </w:r>
                  <w:r>
                    <w:rPr>
                      <w:rFonts w:hint="eastAsia" w:ascii="Times New Roman" w:hAnsi="Times New Roman" w:cs="Times New Roman" w:eastAsiaTheme="minorEastAsia"/>
                      <w:sz w:val="21"/>
                      <w:szCs w:val="21"/>
                      <w:vertAlign w:val="baseline"/>
                      <w:lang w:val="en-US" w:eastAsia="zh-CN"/>
                    </w:rPr>
                    <w:t xml:space="preserve"> </w:t>
                  </w:r>
                  <w:r>
                    <w:rPr>
                      <w:rFonts w:hint="default" w:ascii="Times New Roman" w:hAnsi="Times New Roman" w:cs="Times New Roman" w:eastAsiaTheme="minorEastAsia"/>
                      <w:sz w:val="21"/>
                      <w:szCs w:val="21"/>
                      <w:vertAlign w:val="baseline"/>
                      <w:lang w:val="en-US" w:eastAsia="zh-CN"/>
                    </w:rPr>
                    <w:t>重量法》GB/T11901-1989</w:t>
                  </w:r>
                </w:p>
              </w:tc>
              <w:tc>
                <w:tcPr>
                  <w:tcW w:w="13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sz w:val="21"/>
                      <w:szCs w:val="21"/>
                      <w:vertAlign w:val="baseline"/>
                      <w:lang w:val="en-US" w:eastAsia="zh-CN"/>
                    </w:rPr>
                    <w:t>LE204E分析天平</w:t>
                  </w:r>
                </w:p>
              </w:tc>
              <w:tc>
                <w:tcPr>
                  <w:tcW w:w="6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sz w:val="21"/>
                      <w:szCs w:val="21"/>
                      <w:vertAlign w:val="baseline"/>
                      <w:lang w:val="en-US" w:eastAsia="zh-CN"/>
                    </w:rPr>
                    <w:t>4mg/L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无组织废气</w:t>
                  </w:r>
                </w:p>
              </w:tc>
              <w:tc>
                <w:tcPr>
                  <w:tcW w:w="653" w:type="pct"/>
                  <w:tcBorders>
                    <w:tl2br w:val="nil"/>
                    <w:tr2bl w:val="nil"/>
                  </w:tcBorders>
                  <w:noWrap w:val="0"/>
                  <w:vAlign w:val="center"/>
                </w:tcPr>
                <w:p>
                  <w:pPr>
                    <w:jc w:val="center"/>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i w:val="0"/>
                      <w:color w:val="000000"/>
                      <w:kern w:val="0"/>
                      <w:sz w:val="21"/>
                      <w:szCs w:val="21"/>
                      <w:highlight w:val="none"/>
                      <w:u w:val="none"/>
                      <w:lang w:val="en-US" w:eastAsia="zh-CN" w:bidi="ar"/>
                    </w:rPr>
                    <w:t>颗粒物</w:t>
                  </w:r>
                </w:p>
              </w:tc>
              <w:tc>
                <w:tcPr>
                  <w:tcW w:w="192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color w:val="auto"/>
                      <w:kern w:val="0"/>
                      <w:sz w:val="21"/>
                      <w:szCs w:val="21"/>
                      <w:highlight w:val="none"/>
                    </w:rPr>
                    <w:t>《环境空气</w:t>
                  </w:r>
                  <w:r>
                    <w:rPr>
                      <w:rFonts w:hint="eastAsia" w:ascii="Times New Roman" w:hAnsi="Times New Roman" w:cs="Times New Roman" w:eastAsiaTheme="minorEastAsia"/>
                      <w:color w:val="auto"/>
                      <w:kern w:val="0"/>
                      <w:sz w:val="21"/>
                      <w:szCs w:val="21"/>
                      <w:highlight w:val="none"/>
                      <w:lang w:val="en-US" w:eastAsia="zh-CN"/>
                    </w:rPr>
                    <w:t xml:space="preserve"> </w:t>
                  </w:r>
                  <w:r>
                    <w:rPr>
                      <w:rFonts w:hint="default" w:ascii="Times New Roman" w:hAnsi="Times New Roman" w:cs="Times New Roman" w:eastAsiaTheme="minorEastAsia"/>
                      <w:color w:val="auto"/>
                      <w:kern w:val="0"/>
                      <w:sz w:val="21"/>
                      <w:szCs w:val="21"/>
                      <w:highlight w:val="none"/>
                    </w:rPr>
                    <w:t>总悬浮颗粒物测定</w:t>
                  </w:r>
                  <w:r>
                    <w:rPr>
                      <w:rFonts w:hint="eastAsia" w:ascii="Times New Roman" w:hAnsi="Times New Roman" w:cs="Times New Roman" w:eastAsiaTheme="minorEastAsia"/>
                      <w:color w:val="auto"/>
                      <w:kern w:val="0"/>
                      <w:sz w:val="21"/>
                      <w:szCs w:val="21"/>
                      <w:highlight w:val="none"/>
                      <w:lang w:val="en-US" w:eastAsia="zh-CN"/>
                    </w:rPr>
                    <w:t xml:space="preserve"> </w:t>
                  </w:r>
                  <w:r>
                    <w:rPr>
                      <w:rFonts w:hint="default" w:ascii="Times New Roman" w:hAnsi="Times New Roman" w:cs="Times New Roman" w:eastAsiaTheme="minorEastAsia"/>
                      <w:color w:val="auto"/>
                      <w:kern w:val="0"/>
                      <w:sz w:val="21"/>
                      <w:szCs w:val="21"/>
                      <w:highlight w:val="none"/>
                    </w:rPr>
                    <w:t>重量法》GB/T15432-1995</w:t>
                  </w:r>
                </w:p>
              </w:tc>
              <w:tc>
                <w:tcPr>
                  <w:tcW w:w="130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color w:val="auto"/>
                      <w:kern w:val="0"/>
                      <w:sz w:val="21"/>
                      <w:szCs w:val="21"/>
                      <w:highlight w:val="none"/>
                    </w:rPr>
                    <w:t>LE204E分析天平</w:t>
                  </w:r>
                </w:p>
              </w:tc>
              <w:tc>
                <w:tcPr>
                  <w:tcW w:w="6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color w:val="auto"/>
                      <w:kern w:val="0"/>
                      <w:sz w:val="21"/>
                      <w:szCs w:val="21"/>
                      <w:highlight w:val="none"/>
                      <w:lang w:val="en-US" w:eastAsia="zh-CN"/>
                    </w:rPr>
                    <w:t>0.001mg/m</w:t>
                  </w:r>
                  <w:r>
                    <w:rPr>
                      <w:rFonts w:hint="default" w:ascii="Times New Roman" w:hAnsi="Times New Roman" w:cs="Times New Roman" w:eastAsiaTheme="minorEastAsia"/>
                      <w:color w:val="auto"/>
                      <w:kern w:val="0"/>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SA"/>
                    </w:rPr>
                    <w:t>氮氧化物</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《环境空气 氮氧化物(一氧化氮和二氧化氮)的测定 盐酸萘乙二胺分光光度法》（HJ 479—2009 ）</w:t>
                  </w:r>
                </w:p>
              </w:tc>
              <w:tc>
                <w:tcPr>
                  <w:tcW w:w="1306"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b w:val="0"/>
                      <w:color w:val="auto"/>
                      <w:kern w:val="2"/>
                      <w:sz w:val="21"/>
                      <w:szCs w:val="21"/>
                      <w:highlight w:val="none"/>
                      <w:vertAlign w:val="baseline"/>
                      <w:lang w:val="en-US" w:eastAsia="zh-CN"/>
                    </w:rPr>
                    <w:t>北京普析紫外可见分光光度计</w:t>
                  </w:r>
                </w:p>
              </w:tc>
              <w:tc>
                <w:tcPr>
                  <w:tcW w:w="69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sz w:val="21"/>
                      <w:szCs w:val="21"/>
                      <w:vertAlign w:val="baseline"/>
                      <w:lang w:val="en-US" w:eastAsia="zh-CN"/>
                    </w:rPr>
                    <w:t>0.005</w:t>
                  </w:r>
                  <w:r>
                    <w:rPr>
                      <w:rFonts w:hint="default" w:ascii="Times New Roman" w:hAnsi="Times New Roman" w:cs="Times New Roman" w:eastAsiaTheme="minorEastAsia"/>
                      <w:color w:val="auto"/>
                      <w:kern w:val="0"/>
                      <w:sz w:val="21"/>
                      <w:szCs w:val="21"/>
                      <w:highlight w:val="none"/>
                      <w:lang w:val="en-US" w:eastAsia="zh-CN"/>
                    </w:rPr>
                    <w:t>mg/m</w:t>
                  </w:r>
                  <w:r>
                    <w:rPr>
                      <w:rFonts w:hint="default" w:ascii="Times New Roman" w:hAnsi="Times New Roman" w:cs="Times New Roman" w:eastAsiaTheme="minorEastAsia"/>
                      <w:color w:val="auto"/>
                      <w:kern w:val="0"/>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SA"/>
                    </w:rPr>
                    <w:t>一氧化碳</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《一氧化碳的测定 非分散红外吸收法》空气和废气监测分析方法第四版（国家环境保护总局2003年）</w:t>
                  </w:r>
                </w:p>
              </w:tc>
              <w:tc>
                <w:tcPr>
                  <w:tcW w:w="1306"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b w:val="0"/>
                      <w:color w:val="auto"/>
                      <w:kern w:val="2"/>
                      <w:sz w:val="21"/>
                      <w:szCs w:val="21"/>
                      <w:highlight w:val="none"/>
                      <w:vertAlign w:val="baseline"/>
                      <w:lang w:val="en-US" w:eastAsia="zh-CN"/>
                    </w:rPr>
                    <w:t>便携式红外气体分析器</w:t>
                  </w:r>
                </w:p>
              </w:tc>
              <w:tc>
                <w:tcPr>
                  <w:tcW w:w="69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bCs w:val="0"/>
                      <w:color w:val="FF0000"/>
                      <w:sz w:val="21"/>
                      <w:szCs w:val="21"/>
                    </w:rPr>
                  </w:pPr>
                  <w:r>
                    <w:rPr>
                      <w:rFonts w:hint="default" w:ascii="Times New Roman" w:hAnsi="Times New Roman" w:cs="Times New Roman" w:eastAsiaTheme="minorEastAsia"/>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lang w:val="en-US" w:eastAsia="zh-CN"/>
                    </w:rPr>
                  </w:pPr>
                </w:p>
              </w:tc>
              <w:tc>
                <w:tcPr>
                  <w:tcW w:w="6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非甲烷总烃</w:t>
                  </w:r>
                </w:p>
              </w:tc>
              <w:tc>
                <w:tcPr>
                  <w:tcW w:w="1924"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kern w:val="2"/>
                      <w:sz w:val="21"/>
                      <w:szCs w:val="21"/>
                      <w:vertAlign w:val="baseline"/>
                      <w:lang w:val="en-US" w:eastAsia="zh-CN" w:bidi="ar-SA"/>
                    </w:rPr>
                    <w:t>《环境空气 总烃、甲烷和非甲烷总烃的测定 直接进样-气相色谱法》（HJ 604-2017）</w:t>
                  </w:r>
                </w:p>
              </w:tc>
              <w:tc>
                <w:tcPr>
                  <w:tcW w:w="1306"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79" w:after="79"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上海天美GC-7900气相色谱仪</w:t>
                  </w:r>
                </w:p>
              </w:tc>
              <w:tc>
                <w:tcPr>
                  <w:tcW w:w="698"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79" w:after="79"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FF0000"/>
                      <w:sz w:val="21"/>
                      <w:szCs w:val="21"/>
                    </w:rPr>
                  </w:pPr>
                  <w:r>
                    <w:rPr>
                      <w:rFonts w:hint="default" w:ascii="Times New Roman" w:hAnsi="Times New Roman" w:cs="Times New Roman" w:eastAsiaTheme="minorEastAsia"/>
                      <w:sz w:val="21"/>
                      <w:szCs w:val="21"/>
                      <w:vertAlign w:val="baseline"/>
                      <w:lang w:val="en-US" w:eastAsia="zh-CN"/>
                    </w:rPr>
                    <w:t>0.07</w:t>
                  </w:r>
                  <w:r>
                    <w:rPr>
                      <w:rFonts w:hint="default" w:ascii="Times New Roman" w:hAnsi="Times New Roman" w:cs="Times New Roman" w:eastAsiaTheme="minorEastAsia"/>
                      <w:color w:val="auto"/>
                      <w:kern w:val="0"/>
                      <w:sz w:val="21"/>
                      <w:szCs w:val="21"/>
                      <w:highlight w:val="none"/>
                      <w:lang w:val="en-US" w:eastAsia="zh-CN"/>
                    </w:rPr>
                    <w:t>mg/m</w:t>
                  </w:r>
                  <w:r>
                    <w:rPr>
                      <w:rFonts w:hint="default" w:ascii="Times New Roman" w:hAnsi="Times New Roman" w:cs="Times New Roman" w:eastAsiaTheme="minorEastAsia"/>
                      <w:color w:val="auto"/>
                      <w:kern w:val="0"/>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7"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10" w:leftChars="-50" w:right="-110" w:rightChars="-50"/>
                    <w:jc w:val="center"/>
                    <w:textAlignment w:val="center"/>
                    <w:outlineLvl w:val="9"/>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噪声</w:t>
                  </w:r>
                </w:p>
              </w:tc>
              <w:tc>
                <w:tcPr>
                  <w:tcW w:w="653"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rPr>
                    <w:t>厂界噪声</w:t>
                  </w:r>
                </w:p>
              </w:tc>
              <w:tc>
                <w:tcPr>
                  <w:tcW w:w="1924"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《工业企业厂界噪声排放标准》</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 xml:space="preserve"> GB 12348-2008</w:t>
                  </w:r>
                </w:p>
              </w:tc>
              <w:tc>
                <w:tcPr>
                  <w:tcW w:w="1306"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rPr>
                    <w:t>AWA6228</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rPr>
                    <w:t>多功能声级计</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cs="Times New Roman" w:eastAsiaTheme="minorEastAsia"/>
                      <w:b w:val="0"/>
                      <w:color w:val="auto"/>
                      <w:sz w:val="21"/>
                      <w:szCs w:val="21"/>
                    </w:rPr>
                  </w:pPr>
                  <w:r>
                    <w:rPr>
                      <w:rFonts w:hint="default" w:ascii="Times New Roman" w:hAnsi="Times New Roman" w:cs="Times New Roman" w:eastAsiaTheme="minorEastAsia"/>
                      <w:b w:val="0"/>
                      <w:color w:val="auto"/>
                      <w:sz w:val="21"/>
                      <w:szCs w:val="21"/>
                    </w:rPr>
                    <w:t>AWA6021A</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color w:val="auto"/>
                      <w:sz w:val="21"/>
                      <w:szCs w:val="21"/>
                    </w:rPr>
                    <w:t>声级校准器</w:t>
                  </w:r>
                </w:p>
              </w:tc>
              <w:tc>
                <w:tcPr>
                  <w:tcW w:w="698"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color w:val="auto"/>
                      <w:sz w:val="21"/>
                      <w:szCs w:val="21"/>
                    </w:rPr>
                    <w:t>/</w:t>
                  </w:r>
                </w:p>
              </w:tc>
            </w:tr>
          </w:tbl>
          <w:p>
            <w:pPr>
              <w:pStyle w:val="27"/>
              <w:spacing w:line="374" w:lineRule="exact"/>
              <w:jc w:val="both"/>
              <w:rPr>
                <w:rFonts w:hint="default" w:ascii="Times New Roman" w:hAnsi="Times New Roman" w:eastAsia="宋体" w:cs="Times New Roman"/>
                <w:sz w:val="21"/>
                <w:szCs w:val="20"/>
                <w:lang w:eastAsia="zh-CN"/>
              </w:rPr>
            </w:pP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r>
              <w:rPr>
                <w:rFonts w:hint="default" w:ascii="Times New Roman" w:hAnsi="Times New Roman" w:eastAsia="宋体" w:cs="Times New Roman"/>
                <w:sz w:val="21"/>
                <w:szCs w:val="20"/>
                <w:lang w:eastAsia="zh-CN"/>
              </w:rPr>
              <w:br w:type="textWrapping"/>
            </w: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表七</w:t>
      </w:r>
    </w:p>
    <w:tbl>
      <w:tblPr>
        <w:tblStyle w:val="19"/>
        <w:tblW w:w="8721"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autofit"/>
        <w:tblCellMar>
          <w:top w:w="0" w:type="dxa"/>
          <w:left w:w="108" w:type="dxa"/>
          <w:bottom w:w="0" w:type="dxa"/>
          <w:right w:w="108" w:type="dxa"/>
        </w:tblCellMar>
      </w:tblPr>
      <w:tblGrid>
        <w:gridCol w:w="8721"/>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PrEx>
        <w:trPr>
          <w:trHeight w:val="3852" w:hRule="atLeast"/>
          <w:jc w:val="center"/>
        </w:trPr>
        <w:tc>
          <w:tcPr>
            <w:tcW w:w="8721"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验收监测期间生产工况记录：</w:t>
            </w:r>
          </w:p>
          <w:p>
            <w:pPr>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cs="Times New Roman"/>
                <w:bCs/>
                <w:color w:val="auto"/>
                <w:sz w:val="28"/>
                <w:szCs w:val="28"/>
              </w:rPr>
              <w:t>根据《建设项目竣工环境保护验收技术指南 污染影响类》的工况记录推荐方法</w:t>
            </w:r>
            <w:r>
              <w:rPr>
                <w:rFonts w:hint="eastAsia" w:ascii="Times New Roman" w:hAnsi="Times New Roman" w:cs="Times New Roman"/>
                <w:bCs/>
                <w:color w:val="auto"/>
                <w:sz w:val="28"/>
                <w:szCs w:val="28"/>
                <w:lang w:eastAsia="zh-CN"/>
              </w:rPr>
              <w:t>“</w:t>
            </w:r>
            <w:r>
              <w:rPr>
                <w:rFonts w:hint="eastAsia" w:ascii="Times New Roman" w:hAnsi="Times New Roman" w:cs="Times New Roman"/>
                <w:bCs/>
                <w:color w:val="auto"/>
                <w:sz w:val="28"/>
                <w:szCs w:val="28"/>
                <w:lang w:val="en-US" w:eastAsia="zh-CN"/>
              </w:rPr>
              <w:t>其他建设项目</w:t>
            </w:r>
            <w:r>
              <w:rPr>
                <w:rFonts w:hint="eastAsia" w:ascii="Times New Roman" w:hAnsi="Times New Roman" w:cs="Times New Roman"/>
                <w:bCs/>
                <w:color w:val="auto"/>
                <w:sz w:val="28"/>
                <w:szCs w:val="28"/>
                <w:lang w:eastAsia="zh-CN"/>
              </w:rPr>
              <w:t>”</w:t>
            </w:r>
            <w:r>
              <w:rPr>
                <w:rFonts w:hint="eastAsia" w:ascii="Times New Roman" w:hAnsi="Times New Roman" w:cs="Times New Roman"/>
                <w:bCs/>
                <w:color w:val="auto"/>
                <w:sz w:val="28"/>
                <w:szCs w:val="28"/>
                <w:lang w:val="en-US" w:eastAsia="zh-CN"/>
              </w:rPr>
              <w:t>中“化工原料或能源物料仓储”</w:t>
            </w:r>
            <w:r>
              <w:rPr>
                <w:rFonts w:hint="default" w:ascii="Times New Roman" w:hAnsi="Times New Roman" w:cs="Times New Roman"/>
                <w:bCs/>
                <w:color w:val="auto"/>
                <w:sz w:val="28"/>
                <w:szCs w:val="28"/>
              </w:rPr>
              <w:t>采用</w:t>
            </w:r>
            <w:r>
              <w:rPr>
                <w:rFonts w:hint="eastAsia" w:ascii="Times New Roman" w:hAnsi="Times New Roman" w:cs="Times New Roman"/>
                <w:bCs/>
                <w:color w:val="auto"/>
                <w:sz w:val="28"/>
                <w:szCs w:val="28"/>
                <w:lang w:val="en-US" w:eastAsia="zh-CN"/>
              </w:rPr>
              <w:t>单位时间物料装卸量来核定工况</w:t>
            </w:r>
            <w:r>
              <w:rPr>
                <w:rFonts w:hint="default" w:ascii="Times New Roman" w:hAnsi="Times New Roman" w:cs="Times New Roman"/>
                <w:bCs/>
                <w:color w:val="auto"/>
                <w:sz w:val="28"/>
                <w:szCs w:val="28"/>
                <w:lang w:val="en-US" w:eastAsia="zh-CN"/>
              </w:rPr>
              <w:t>录况。</w:t>
            </w:r>
            <w:r>
              <w:rPr>
                <w:rFonts w:hint="eastAsia" w:ascii="Times New Roman" w:hAnsi="Times New Roman" w:cs="Times New Roman"/>
                <w:color w:val="auto"/>
                <w:spacing w:val="-4"/>
                <w:sz w:val="28"/>
                <w:szCs w:val="28"/>
                <w:lang w:val="en-US" w:eastAsia="zh-CN"/>
              </w:rPr>
              <w:t>据此，</w:t>
            </w:r>
            <w:r>
              <w:rPr>
                <w:rFonts w:hint="default" w:ascii="Times New Roman" w:hAnsi="Times New Roman" w:eastAsia="宋体" w:cs="Times New Roman"/>
                <w:color w:val="auto"/>
                <w:spacing w:val="-4"/>
                <w:sz w:val="28"/>
                <w:szCs w:val="28"/>
              </w:rPr>
              <w:t>验收监测期间工况表见</w:t>
            </w:r>
            <w:r>
              <w:rPr>
                <w:rFonts w:hint="eastAsia" w:ascii="Times New Roman" w:hAnsi="Times New Roman" w:eastAsia="宋体" w:cs="Times New Roman"/>
                <w:color w:val="auto"/>
                <w:sz w:val="28"/>
                <w:szCs w:val="28"/>
                <w:lang w:eastAsia="zh-CN"/>
              </w:rPr>
              <w:t>表</w:t>
            </w:r>
            <w:r>
              <w:rPr>
                <w:rFonts w:hint="eastAsia" w:ascii="Times New Roman" w:hAnsi="Times New Roman" w:eastAsia="宋体" w:cs="Times New Roman"/>
                <w:color w:val="auto"/>
                <w:sz w:val="28"/>
                <w:szCs w:val="28"/>
                <w:lang w:val="en-US" w:eastAsia="zh-CN"/>
              </w:rPr>
              <w:t>1</w:t>
            </w:r>
            <w:r>
              <w:rPr>
                <w:rFonts w:hint="eastAsia" w:ascii="Times New Roman" w:hAnsi="Times New Roman" w:cs="Times New Roman"/>
                <w:color w:val="auto"/>
                <w:sz w:val="28"/>
                <w:szCs w:val="28"/>
                <w:lang w:val="en-US" w:eastAsia="zh-CN"/>
              </w:rPr>
              <w:t>3</w:t>
            </w:r>
            <w:r>
              <w:rPr>
                <w:rFonts w:hint="eastAsia" w:ascii="Times New Roman" w:hAnsi="Times New Roman" w:eastAsia="宋体" w:cs="Times New Roman"/>
                <w:color w:val="auto"/>
                <w:sz w:val="28"/>
                <w:szCs w:val="28"/>
                <w:lang w:val="en-US" w:eastAsia="zh-CN"/>
              </w:rPr>
              <w:t>。</w:t>
            </w:r>
          </w:p>
          <w:p>
            <w:pPr>
              <w:pStyle w:val="2"/>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1</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验收期间生产情况表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2342"/>
              <w:gridCol w:w="1910"/>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pct"/>
                  <w:tcBorders>
                    <w:tl2br w:val="nil"/>
                    <w:tr2bl w:val="nil"/>
                  </w:tcBorders>
                  <w:vAlign w:val="center"/>
                </w:tcPr>
                <w:p>
                  <w:pPr>
                    <w:pStyle w:val="2"/>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1377" w:type="pct"/>
                  <w:tcBorders>
                    <w:tl2br w:val="nil"/>
                    <w:tr2bl w:val="nil"/>
                  </w:tcBorders>
                  <w:vAlign w:val="center"/>
                </w:tcPr>
                <w:p>
                  <w:pPr>
                    <w:pStyle w:val="2"/>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设计</w:t>
                  </w:r>
                  <w:r>
                    <w:rPr>
                      <w:rFonts w:hint="eastAsia" w:ascii="Times New Roman" w:hAnsi="Times New Roman" w:eastAsia="宋体" w:cs="Times New Roman"/>
                      <w:b/>
                      <w:bCs/>
                      <w:color w:val="auto"/>
                      <w:sz w:val="21"/>
                      <w:szCs w:val="21"/>
                      <w:vertAlign w:val="baseline"/>
                      <w:lang w:val="en-US" w:eastAsia="zh-CN"/>
                    </w:rPr>
                    <w:t>货物</w:t>
                  </w:r>
                  <w:r>
                    <w:rPr>
                      <w:rFonts w:hint="eastAsia" w:ascii="Times New Roman" w:hAnsi="Times New Roman" w:cs="Times New Roman"/>
                      <w:b/>
                      <w:bCs/>
                      <w:color w:val="auto"/>
                      <w:sz w:val="21"/>
                      <w:szCs w:val="21"/>
                      <w:vertAlign w:val="baseline"/>
                      <w:lang w:val="en-US" w:eastAsia="zh-CN"/>
                    </w:rPr>
                    <w:t>转运量</w:t>
                  </w:r>
                  <w:r>
                    <w:rPr>
                      <w:rFonts w:hint="default" w:ascii="Times New Roman" w:hAnsi="Times New Roman" w:eastAsia="宋体" w:cs="Times New Roman"/>
                      <w:b/>
                      <w:bCs/>
                      <w:color w:val="auto"/>
                      <w:sz w:val="21"/>
                      <w:szCs w:val="21"/>
                      <w:vertAlign w:val="baseline"/>
                      <w:lang w:val="en-US" w:eastAsia="zh-CN"/>
                    </w:rPr>
                    <w:t>（</w:t>
                  </w:r>
                  <w:r>
                    <w:rPr>
                      <w:rFonts w:hint="eastAsia"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lang w:val="en-US" w:eastAsia="zh-CN"/>
                    </w:rPr>
                    <w:t>/d</w:t>
                  </w:r>
                  <w:r>
                    <w:rPr>
                      <w:rFonts w:hint="default" w:ascii="Times New Roman" w:hAnsi="Times New Roman" w:eastAsia="宋体" w:cs="Times New Roman"/>
                      <w:b/>
                      <w:bCs/>
                      <w:color w:val="auto"/>
                      <w:sz w:val="21"/>
                      <w:szCs w:val="21"/>
                      <w:vertAlign w:val="baseline"/>
                      <w:lang w:val="en-US" w:eastAsia="zh-CN"/>
                    </w:rPr>
                    <w:t>）</w:t>
                  </w:r>
                </w:p>
              </w:tc>
              <w:tc>
                <w:tcPr>
                  <w:tcW w:w="1123" w:type="pct"/>
                  <w:tcBorders>
                    <w:tl2br w:val="nil"/>
                    <w:tr2bl w:val="nil"/>
                  </w:tcBorders>
                  <w:vAlign w:val="center"/>
                </w:tcPr>
                <w:p>
                  <w:pPr>
                    <w:pStyle w:val="2"/>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实际转运量</w:t>
                  </w:r>
                  <w:r>
                    <w:rPr>
                      <w:rFonts w:hint="default" w:ascii="Times New Roman" w:hAnsi="Times New Roman" w:eastAsia="宋体" w:cs="Times New Roman"/>
                      <w:b/>
                      <w:bCs/>
                      <w:color w:val="auto"/>
                      <w:sz w:val="21"/>
                      <w:szCs w:val="21"/>
                      <w:vertAlign w:val="baseline"/>
                      <w:lang w:val="en-US" w:eastAsia="zh-CN"/>
                    </w:rPr>
                    <w:t>（</w:t>
                  </w:r>
                  <w:r>
                    <w:rPr>
                      <w:rFonts w:hint="eastAsia"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lang w:val="en-US" w:eastAsia="zh-CN"/>
                    </w:rPr>
                    <w:t>/d</w:t>
                  </w:r>
                  <w:r>
                    <w:rPr>
                      <w:rFonts w:hint="default" w:ascii="Times New Roman" w:hAnsi="Times New Roman" w:eastAsia="宋体" w:cs="Times New Roman"/>
                      <w:b/>
                      <w:bCs/>
                      <w:color w:val="auto"/>
                      <w:sz w:val="21"/>
                      <w:szCs w:val="21"/>
                      <w:vertAlign w:val="baseline"/>
                      <w:lang w:val="en-US" w:eastAsia="zh-CN"/>
                    </w:rPr>
                    <w:t>）</w:t>
                  </w:r>
                </w:p>
              </w:tc>
              <w:tc>
                <w:tcPr>
                  <w:tcW w:w="1250" w:type="pct"/>
                  <w:tcBorders>
                    <w:tl2br w:val="nil"/>
                    <w:tr2bl w:val="nil"/>
                  </w:tcBorders>
                  <w:vAlign w:val="center"/>
                </w:tcPr>
                <w:p>
                  <w:pPr>
                    <w:pStyle w:val="2"/>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w:t>
                  </w:r>
                  <w:r>
                    <w:rPr>
                      <w:rFonts w:hint="default" w:ascii="Times New Roman" w:hAnsi="Times New Roman" w:eastAsia="宋体" w:cs="Times New Roman"/>
                      <w:color w:val="auto"/>
                      <w:sz w:val="21"/>
                      <w:szCs w:val="21"/>
                      <w:vertAlign w:val="baseline"/>
                      <w:lang w:val="en-US" w:eastAsia="zh-CN"/>
                    </w:rPr>
                    <w:t>月</w:t>
                  </w:r>
                  <w:r>
                    <w:rPr>
                      <w:rFonts w:hint="eastAsia" w:cs="Times New Roman"/>
                      <w:color w:val="auto"/>
                      <w:sz w:val="21"/>
                      <w:szCs w:val="21"/>
                      <w:vertAlign w:val="baseline"/>
                      <w:lang w:val="en-US" w:eastAsia="zh-CN"/>
                    </w:rPr>
                    <w:t>17</w:t>
                  </w:r>
                  <w:r>
                    <w:rPr>
                      <w:rFonts w:hint="default" w:ascii="Times New Roman" w:hAnsi="Times New Roman" w:eastAsia="宋体" w:cs="Times New Roman"/>
                      <w:color w:val="auto"/>
                      <w:sz w:val="21"/>
                      <w:szCs w:val="21"/>
                      <w:vertAlign w:val="baseline"/>
                      <w:lang w:val="en-US" w:eastAsia="zh-CN"/>
                    </w:rPr>
                    <w:t>日</w:t>
                  </w:r>
                </w:p>
              </w:tc>
              <w:tc>
                <w:tcPr>
                  <w:tcW w:w="1377"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w:t>
                  </w:r>
                </w:p>
              </w:tc>
              <w:tc>
                <w:tcPr>
                  <w:tcW w:w="1123"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1350</w:t>
                  </w:r>
                </w:p>
              </w:tc>
              <w:tc>
                <w:tcPr>
                  <w:tcW w:w="125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w:t>
                  </w:r>
                  <w:r>
                    <w:rPr>
                      <w:rFonts w:hint="default" w:ascii="Times New Roman" w:hAnsi="Times New Roman" w:eastAsia="宋体" w:cs="Times New Roman"/>
                      <w:color w:val="auto"/>
                      <w:sz w:val="21"/>
                      <w:szCs w:val="21"/>
                      <w:vertAlign w:val="baseline"/>
                      <w:lang w:val="en-US" w:eastAsia="zh-CN"/>
                    </w:rPr>
                    <w:t>月</w:t>
                  </w:r>
                  <w:r>
                    <w:rPr>
                      <w:rFonts w:hint="eastAsia" w:cs="Times New Roman"/>
                      <w:color w:val="auto"/>
                      <w:sz w:val="21"/>
                      <w:szCs w:val="21"/>
                      <w:vertAlign w:val="baseline"/>
                      <w:lang w:val="en-US" w:eastAsia="zh-CN"/>
                    </w:rPr>
                    <w:t>18</w:t>
                  </w:r>
                  <w:r>
                    <w:rPr>
                      <w:rFonts w:hint="default" w:ascii="Times New Roman" w:hAnsi="Times New Roman" w:eastAsia="宋体" w:cs="Times New Roman"/>
                      <w:color w:val="auto"/>
                      <w:sz w:val="21"/>
                      <w:szCs w:val="21"/>
                      <w:vertAlign w:val="baseline"/>
                      <w:lang w:val="en-US" w:eastAsia="zh-CN"/>
                    </w:rPr>
                    <w:t>日</w:t>
                  </w:r>
                </w:p>
              </w:tc>
              <w:tc>
                <w:tcPr>
                  <w:tcW w:w="1377"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w:t>
                  </w:r>
                </w:p>
              </w:tc>
              <w:tc>
                <w:tcPr>
                  <w:tcW w:w="1123"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1350</w:t>
                  </w:r>
                </w:p>
              </w:tc>
              <w:tc>
                <w:tcPr>
                  <w:tcW w:w="125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r>
          </w:tbl>
          <w:p>
            <w:pPr>
              <w:pStyle w:val="2"/>
              <w:jc w:val="both"/>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90" w:hRule="atLeast"/>
          <w:jc w:val="center"/>
        </w:trPr>
        <w:tc>
          <w:tcPr>
            <w:tcW w:w="8721"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验收监测结果：</w:t>
            </w:r>
          </w:p>
          <w:p>
            <w:pPr>
              <w:keepNext w:val="0"/>
              <w:keepLines w:val="0"/>
              <w:pageBreakBefore w:val="0"/>
              <w:kinsoku/>
              <w:wordWrap/>
              <w:overflowPunct/>
              <w:topLinePunct w:val="0"/>
              <w:bidi w:val="0"/>
              <w:spacing w:line="360" w:lineRule="auto"/>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1、验收监测期间气象记录</w:t>
            </w:r>
          </w:p>
          <w:p>
            <w:pPr>
              <w:keepNext w:val="0"/>
              <w:keepLines w:val="0"/>
              <w:pageBreakBefore w:val="0"/>
              <w:kinsoku/>
              <w:wordWrap/>
              <w:overflowPunct/>
              <w:topLinePunct w:val="0"/>
              <w:bidi w:val="0"/>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验收监测期间气象情况详见下表</w:t>
            </w:r>
            <w:r>
              <w:rPr>
                <w:rFonts w:hint="default" w:ascii="Times New Roman" w:hAnsi="Times New Roman" w:eastAsia="宋体" w:cs="Times New Roman"/>
                <w:color w:val="auto"/>
                <w:sz w:val="28"/>
                <w:szCs w:val="28"/>
                <w:lang w:eastAsia="zh-CN"/>
              </w:rPr>
              <w:t>：</w:t>
            </w:r>
          </w:p>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验收监测期间气象记录表</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875"/>
              <w:gridCol w:w="1548"/>
              <w:gridCol w:w="1548"/>
              <w:gridCol w:w="1582"/>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日期</w:t>
                  </w:r>
                </w:p>
              </w:tc>
              <w:tc>
                <w:tcPr>
                  <w:tcW w:w="515"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风速（m/s）</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温度(℃)</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气压(kPa)</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湿度</w:t>
                  </w:r>
                  <w:r>
                    <w:rPr>
                      <w:rFonts w:hint="eastAsia" w:ascii="Times New Roman" w:hAnsi="Times New Roman"/>
                      <w:b/>
                      <w:bCs/>
                      <w:color w:val="auto"/>
                      <w:kern w:val="0"/>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w:t>
                  </w: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17</w:t>
                  </w:r>
                </w:p>
              </w:tc>
              <w:tc>
                <w:tcPr>
                  <w:tcW w:w="515"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西</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highlight w:val="none"/>
                      <w:lang w:val="en-US" w:eastAsia="zh-CN"/>
                    </w:rPr>
                    <w:t>1.4</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22.1</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101.3</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w:t>
                  </w: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18</w:t>
                  </w:r>
                </w:p>
              </w:tc>
              <w:tc>
                <w:tcPr>
                  <w:tcW w:w="515"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西</w:t>
                  </w:r>
                  <w:r>
                    <w:rPr>
                      <w:rFonts w:hint="default" w:ascii="Times New Roman" w:hAnsi="Times New Roman" w:eastAsia="宋体" w:cs="Times New Roman"/>
                      <w:color w:val="auto"/>
                      <w:sz w:val="21"/>
                      <w:szCs w:val="21"/>
                      <w:lang w:val="en-US" w:eastAsia="zh-CN"/>
                    </w:rPr>
                    <w:t>北</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highlight w:val="none"/>
                      <w:lang w:val="en-US" w:eastAsia="zh-CN"/>
                    </w:rPr>
                    <w:t>1.4</w:t>
                  </w:r>
                </w:p>
              </w:tc>
              <w:tc>
                <w:tcPr>
                  <w:tcW w:w="91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23.4</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102.5</w:t>
                  </w:r>
                </w:p>
              </w:tc>
              <w:tc>
                <w:tcPr>
                  <w:tcW w:w="93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86</w:t>
                  </w:r>
                </w:p>
              </w:tc>
            </w:tr>
          </w:tbl>
          <w:p>
            <w:pPr>
              <w:pStyle w:val="5"/>
              <w:numPr>
                <w:ilvl w:val="0"/>
                <w:numId w:val="0"/>
              </w:numPr>
              <w:spacing w:line="360" w:lineRule="auto"/>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rPr>
              <w:t>废水监测结果及评价</w:t>
            </w:r>
          </w:p>
          <w:p>
            <w:pPr>
              <w:spacing w:line="360" w:lineRule="auto"/>
              <w:ind w:left="480"/>
              <w:jc w:val="both"/>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项目生活污水出水口</w:t>
            </w:r>
            <w:r>
              <w:rPr>
                <w:rFonts w:hint="default" w:ascii="Times New Roman" w:hAnsi="Times New Roman" w:eastAsia="宋体" w:cs="Times New Roman"/>
                <w:color w:val="auto"/>
                <w:sz w:val="28"/>
                <w:szCs w:val="28"/>
                <w:lang w:eastAsia="zh-CN"/>
              </w:rPr>
              <w:t>水质监测结果见表</w:t>
            </w:r>
            <w:r>
              <w:rPr>
                <w:rFonts w:hint="default" w:ascii="Times New Roman" w:hAnsi="Times New Roman" w:eastAsia="宋体" w:cs="Times New Roman"/>
                <w:color w:val="auto"/>
                <w:sz w:val="28"/>
                <w:szCs w:val="28"/>
                <w:lang w:val="en-US" w:eastAsia="zh-CN"/>
              </w:rPr>
              <w:t>1</w:t>
            </w:r>
            <w:r>
              <w:rPr>
                <w:rFonts w:hint="eastAsia" w:ascii="Times New Roman" w:hAnsi="Times New Roman"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w:t>
            </w:r>
          </w:p>
          <w:p>
            <w:pPr>
              <w:pStyle w:val="28"/>
              <w:spacing w:before="156" w:beforeLines="50" w:after="156" w:afterLines="5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eastAsia="zh-CN"/>
              </w:rPr>
              <w:t xml:space="preserve">  项目废水</w:t>
            </w:r>
            <w:r>
              <w:rPr>
                <w:rFonts w:hint="eastAsia" w:ascii="Times New Roman" w:hAnsi="Times New Roman" w:cs="Times New Roman"/>
                <w:b/>
                <w:bCs/>
                <w:color w:val="auto"/>
                <w:sz w:val="24"/>
                <w:szCs w:val="24"/>
                <w:lang w:val="en-US" w:eastAsia="zh-CN"/>
              </w:rPr>
              <w:t>出水口</w:t>
            </w:r>
            <w:r>
              <w:rPr>
                <w:rFonts w:hint="default" w:ascii="Times New Roman" w:hAnsi="Times New Roman" w:eastAsia="宋体" w:cs="Times New Roman"/>
                <w:b/>
                <w:bCs/>
                <w:color w:val="auto"/>
                <w:sz w:val="24"/>
                <w:szCs w:val="24"/>
                <w:lang w:eastAsia="zh-CN"/>
              </w:rPr>
              <w:t>监测结果一览表</w:t>
            </w:r>
          </w:p>
          <w:tbl>
            <w:tblPr>
              <w:tblStyle w:val="1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76"/>
              <w:gridCol w:w="948"/>
              <w:gridCol w:w="594"/>
              <w:gridCol w:w="840"/>
              <w:gridCol w:w="946"/>
              <w:gridCol w:w="946"/>
              <w:gridCol w:w="946"/>
              <w:gridCol w:w="953"/>
              <w:gridCol w:w="709"/>
              <w:gridCol w:w="7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w:t>
                  </w:r>
                </w:p>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557"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349"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494"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2228" w:type="pct"/>
                  <w:gridSpan w:val="4"/>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w:t>
                  </w:r>
                </w:p>
              </w:tc>
              <w:tc>
                <w:tcPr>
                  <w:tcW w:w="417"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标准限值</w:t>
                  </w:r>
                </w:p>
              </w:tc>
              <w:tc>
                <w:tcPr>
                  <w:tcW w:w="437" w:type="pct"/>
                  <w:vMerge w:val="restart"/>
                  <w:tcBorders>
                    <w:tl2br w:val="nil"/>
                    <w:tr2bl w:val="nil"/>
                  </w:tcBorders>
                  <w:vAlign w:val="center"/>
                </w:tcPr>
                <w:p>
                  <w:pPr>
                    <w:widowControl/>
                    <w:contextualSpacing/>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b/>
                      <w:bCs/>
                      <w:color w:val="auto"/>
                      <w:sz w:val="21"/>
                      <w:szCs w:val="21"/>
                    </w:rPr>
                  </w:pPr>
                </w:p>
              </w:tc>
              <w:tc>
                <w:tcPr>
                  <w:tcW w:w="557" w:type="pct"/>
                  <w:vMerge w:val="continue"/>
                  <w:tcBorders>
                    <w:tl2br w:val="nil"/>
                    <w:tr2bl w:val="nil"/>
                  </w:tcBorders>
                  <w:vAlign w:val="center"/>
                </w:tcPr>
                <w:p>
                  <w:pPr>
                    <w:widowControl/>
                    <w:contextualSpacing/>
                    <w:jc w:val="center"/>
                    <w:rPr>
                      <w:b/>
                      <w:bCs/>
                      <w:color w:val="auto"/>
                      <w:sz w:val="21"/>
                      <w:szCs w:val="21"/>
                    </w:rPr>
                  </w:pPr>
                </w:p>
              </w:tc>
              <w:tc>
                <w:tcPr>
                  <w:tcW w:w="349" w:type="pct"/>
                  <w:vMerge w:val="continue"/>
                  <w:tcBorders>
                    <w:tl2br w:val="nil"/>
                    <w:tr2bl w:val="nil"/>
                  </w:tcBorders>
                  <w:vAlign w:val="center"/>
                </w:tcPr>
                <w:p>
                  <w:pPr>
                    <w:widowControl/>
                    <w:contextualSpacing/>
                    <w:jc w:val="center"/>
                    <w:rPr>
                      <w:b/>
                      <w:bCs/>
                      <w:color w:val="auto"/>
                      <w:sz w:val="21"/>
                      <w:szCs w:val="21"/>
                    </w:rPr>
                  </w:pPr>
                </w:p>
              </w:tc>
              <w:tc>
                <w:tcPr>
                  <w:tcW w:w="494" w:type="pct"/>
                  <w:vMerge w:val="continue"/>
                  <w:tcBorders>
                    <w:tl2br w:val="nil"/>
                    <w:tr2bl w:val="nil"/>
                  </w:tcBorders>
                  <w:vAlign w:val="center"/>
                </w:tcPr>
                <w:p>
                  <w:pPr>
                    <w:widowControl/>
                    <w:contextualSpacing/>
                    <w:jc w:val="center"/>
                    <w:rPr>
                      <w:b/>
                      <w:bCs/>
                      <w:color w:val="auto"/>
                      <w:sz w:val="21"/>
                      <w:szCs w:val="21"/>
                    </w:rPr>
                  </w:pPr>
                </w:p>
              </w:tc>
              <w:tc>
                <w:tcPr>
                  <w:tcW w:w="556" w:type="pct"/>
                  <w:tcBorders>
                    <w:tl2br w:val="nil"/>
                    <w:tr2bl w:val="nil"/>
                  </w:tcBorders>
                  <w:vAlign w:val="center"/>
                </w:tcPr>
                <w:p>
                  <w:pPr>
                    <w:widowControl/>
                    <w:contextualSpacing/>
                    <w:jc w:val="center"/>
                    <w:rPr>
                      <w:rFonts w:hint="eastAsia" w:eastAsia="宋体"/>
                      <w:b/>
                      <w:bCs/>
                      <w:color w:val="auto"/>
                      <w:sz w:val="21"/>
                      <w:szCs w:val="21"/>
                      <w:lang w:val="en-US" w:eastAsia="zh-CN"/>
                    </w:rPr>
                  </w:pPr>
                  <w:r>
                    <w:rPr>
                      <w:rFonts w:hint="eastAsia"/>
                      <w:b/>
                      <w:bCs/>
                      <w:color w:val="auto"/>
                      <w:sz w:val="21"/>
                      <w:szCs w:val="21"/>
                      <w:lang w:val="en-US" w:eastAsia="zh-CN"/>
                    </w:rPr>
                    <w:t>第一次</w:t>
                  </w:r>
                </w:p>
              </w:tc>
              <w:tc>
                <w:tcPr>
                  <w:tcW w:w="556" w:type="pct"/>
                  <w:tcBorders>
                    <w:tl2br w:val="nil"/>
                    <w:tr2bl w:val="nil"/>
                  </w:tcBorders>
                  <w:vAlign w:val="center"/>
                </w:tcPr>
                <w:p>
                  <w:pPr>
                    <w:widowControl/>
                    <w:contextualSpacing/>
                    <w:jc w:val="center"/>
                    <w:rPr>
                      <w:b/>
                      <w:bCs/>
                      <w:color w:val="auto"/>
                      <w:sz w:val="21"/>
                      <w:szCs w:val="21"/>
                    </w:rPr>
                  </w:pPr>
                  <w:r>
                    <w:rPr>
                      <w:rFonts w:hint="eastAsia"/>
                      <w:b/>
                      <w:bCs/>
                      <w:color w:val="auto"/>
                      <w:sz w:val="21"/>
                      <w:szCs w:val="21"/>
                      <w:lang w:val="en-US" w:eastAsia="zh-CN"/>
                    </w:rPr>
                    <w:t>第二次</w:t>
                  </w:r>
                </w:p>
              </w:tc>
              <w:tc>
                <w:tcPr>
                  <w:tcW w:w="556" w:type="pct"/>
                  <w:tcBorders>
                    <w:tl2br w:val="nil"/>
                    <w:tr2bl w:val="nil"/>
                  </w:tcBorders>
                  <w:vAlign w:val="center"/>
                </w:tcPr>
                <w:p>
                  <w:pPr>
                    <w:widowControl/>
                    <w:contextualSpacing/>
                    <w:jc w:val="center"/>
                    <w:rPr>
                      <w:b/>
                      <w:bCs/>
                      <w:color w:val="auto"/>
                      <w:sz w:val="21"/>
                      <w:szCs w:val="21"/>
                    </w:rPr>
                  </w:pPr>
                  <w:r>
                    <w:rPr>
                      <w:rFonts w:hint="eastAsia"/>
                      <w:b/>
                      <w:bCs/>
                      <w:color w:val="auto"/>
                      <w:sz w:val="21"/>
                      <w:szCs w:val="21"/>
                      <w:lang w:val="en-US" w:eastAsia="zh-CN"/>
                    </w:rPr>
                    <w:t>第三次</w:t>
                  </w:r>
                </w:p>
              </w:tc>
              <w:tc>
                <w:tcPr>
                  <w:tcW w:w="559" w:type="pct"/>
                  <w:tcBorders>
                    <w:tl2br w:val="nil"/>
                    <w:tr2bl w:val="nil"/>
                  </w:tcBorders>
                  <w:vAlign w:val="center"/>
                </w:tcPr>
                <w:p>
                  <w:pPr>
                    <w:widowControl/>
                    <w:contextualSpacing/>
                    <w:jc w:val="center"/>
                    <w:rPr>
                      <w:b/>
                      <w:bCs/>
                      <w:color w:val="auto"/>
                      <w:sz w:val="21"/>
                      <w:szCs w:val="21"/>
                    </w:rPr>
                  </w:pPr>
                  <w:r>
                    <w:rPr>
                      <w:rFonts w:hint="eastAsia"/>
                      <w:b/>
                      <w:bCs/>
                      <w:color w:val="auto"/>
                      <w:sz w:val="21"/>
                      <w:szCs w:val="21"/>
                      <w:lang w:val="en-US" w:eastAsia="zh-CN"/>
                    </w:rPr>
                    <w:t>第四次</w:t>
                  </w:r>
                </w:p>
              </w:tc>
              <w:tc>
                <w:tcPr>
                  <w:tcW w:w="417" w:type="pct"/>
                  <w:vMerge w:val="continue"/>
                  <w:tcBorders>
                    <w:tl2br w:val="nil"/>
                    <w:tr2bl w:val="nil"/>
                  </w:tcBorders>
                  <w:vAlign w:val="center"/>
                </w:tcPr>
                <w:p>
                  <w:pPr>
                    <w:widowControl/>
                    <w:contextualSpacing/>
                    <w:jc w:val="center"/>
                    <w:rPr>
                      <w:b/>
                      <w:bCs/>
                      <w:color w:val="auto"/>
                      <w:sz w:val="21"/>
                      <w:szCs w:val="21"/>
                    </w:rPr>
                  </w:pPr>
                </w:p>
              </w:tc>
              <w:tc>
                <w:tcPr>
                  <w:tcW w:w="437" w:type="pct"/>
                  <w:vMerge w:val="continue"/>
                  <w:tcBorders>
                    <w:tl2br w:val="nil"/>
                    <w:tr2bl w:val="nil"/>
                  </w:tcBorders>
                  <w:vAlign w:val="center"/>
                </w:tcPr>
                <w:p>
                  <w:pPr>
                    <w:widowControl/>
                    <w:contextualSpacing/>
                    <w:jc w:val="center"/>
                    <w:rPr>
                      <w:b/>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生活污水总排口</w:t>
                  </w: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PH</w:t>
                  </w:r>
                </w:p>
              </w:tc>
              <w:tc>
                <w:tcPr>
                  <w:tcW w:w="349" w:type="pct"/>
                  <w:vMerge w:val="restar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17</w:t>
                  </w:r>
                  <w:r>
                    <w:rPr>
                      <w:rFonts w:hint="default" w:ascii="Times New Roman" w:hAnsi="Times New Roman" w:eastAsia="宋体" w:cs="Times New Roman"/>
                      <w:color w:val="auto"/>
                      <w:sz w:val="21"/>
                      <w:szCs w:val="21"/>
                      <w:lang w:eastAsia="zh-CN"/>
                    </w:rPr>
                    <w:t>日</w:t>
                  </w: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无量纲</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4"/>
                      <w:szCs w:val="24"/>
                      <w:lang w:val="en-US" w:eastAsia="zh-CN"/>
                    </w:rPr>
                    <w:t>7.15</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7.11</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7.17</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7.09</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6-9</w:t>
                  </w:r>
                </w:p>
              </w:tc>
              <w:tc>
                <w:tcPr>
                  <w:tcW w:w="437" w:type="pct"/>
                  <w:tcBorders>
                    <w:tl2br w:val="nil"/>
                    <w:tr2bl w:val="nil"/>
                  </w:tcBorders>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氨氮</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highlight w:val="none"/>
                      <w:lang w:val="en-US" w:eastAsia="zh-CN"/>
                    </w:rPr>
                    <w:t>34.5</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33.5</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34.8</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34.2</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4"/>
                      <w:szCs w:val="24"/>
                      <w:lang w:val="en-US" w:eastAsia="zh-CN"/>
                    </w:rPr>
                    <w:t>4</w:t>
                  </w:r>
                  <w:r>
                    <w:rPr>
                      <w:rFonts w:hint="eastAsia" w:ascii="Times New Roman" w:hAnsi="Times New Roman" w:eastAsia="宋体"/>
                      <w:color w:val="auto"/>
                      <w:sz w:val="24"/>
                      <w:szCs w:val="24"/>
                      <w:lang w:val="en-US" w:eastAsia="zh-CN"/>
                    </w:rPr>
                    <w:t>5</w:t>
                  </w:r>
                </w:p>
              </w:tc>
              <w:tc>
                <w:tcPr>
                  <w:tcW w:w="437" w:type="pct"/>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SS</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147</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93</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136</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104</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400</w:t>
                  </w:r>
                </w:p>
              </w:tc>
              <w:tc>
                <w:tcPr>
                  <w:tcW w:w="437" w:type="pct"/>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75.7</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62.8</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69.9</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78</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300</w:t>
                  </w:r>
                </w:p>
              </w:tc>
              <w:tc>
                <w:tcPr>
                  <w:tcW w:w="437" w:type="pct"/>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val="en-US" w:eastAsia="zh-CN"/>
                    </w:rPr>
                    <w:t>CODcr</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274</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230</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253</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283</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500</w:t>
                  </w:r>
                </w:p>
              </w:tc>
              <w:tc>
                <w:tcPr>
                  <w:tcW w:w="437" w:type="pct"/>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石油类</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0.04(L)</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20</w:t>
                  </w:r>
                </w:p>
              </w:tc>
              <w:tc>
                <w:tcPr>
                  <w:tcW w:w="437" w:type="pct"/>
                  <w:tcBorders>
                    <w:tl2br w:val="nil"/>
                    <w:tr2bl w:val="nil"/>
                  </w:tcBorders>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restar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生活污水总排口</w:t>
                  </w: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PH</w:t>
                  </w:r>
                </w:p>
              </w:tc>
              <w:tc>
                <w:tcPr>
                  <w:tcW w:w="349" w:type="pct"/>
                  <w:vMerge w:val="restar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lang w:eastAsia="zh-CN"/>
                    </w:rPr>
                    <w:t>日</w:t>
                  </w: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无量纲</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7.18</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7.14</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7.09</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7.13</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6-9</w:t>
                  </w:r>
                </w:p>
              </w:tc>
              <w:tc>
                <w:tcPr>
                  <w:tcW w:w="437" w:type="pct"/>
                  <w:tcBorders>
                    <w:tl2br w:val="nil"/>
                    <w:tr2bl w:val="nil"/>
                  </w:tcBorders>
                  <w:vAlign w:val="center"/>
                </w:tcPr>
                <w:p>
                  <w:pPr>
                    <w:contextualSpacing/>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氨氮</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highlight w:val="none"/>
                      <w:lang w:val="en-US" w:eastAsia="zh-CN"/>
                    </w:rPr>
                    <w:t>33.2</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32.3</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33.4</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highlight w:val="none"/>
                      <w:lang w:val="en-US" w:eastAsia="zh-CN"/>
                    </w:rPr>
                    <w:t>32.8</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4"/>
                      <w:szCs w:val="24"/>
                      <w:lang w:val="en-US" w:eastAsia="zh-CN"/>
                    </w:rPr>
                    <w:t>4</w:t>
                  </w:r>
                  <w:r>
                    <w:rPr>
                      <w:rFonts w:hint="eastAsia" w:ascii="Times New Roman" w:hAnsi="Times New Roman" w:eastAsia="宋体"/>
                      <w:color w:val="auto"/>
                      <w:sz w:val="24"/>
                      <w:szCs w:val="24"/>
                      <w:lang w:val="en-US" w:eastAsia="zh-CN"/>
                    </w:rPr>
                    <w:t>5</w:t>
                  </w:r>
                </w:p>
              </w:tc>
              <w:tc>
                <w:tcPr>
                  <w:tcW w:w="437"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SS</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133</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80</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123</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83</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400</w:t>
                  </w:r>
                </w:p>
              </w:tc>
              <w:tc>
                <w:tcPr>
                  <w:tcW w:w="437" w:type="pct"/>
                  <w:tcBorders>
                    <w:tl2br w:val="nil"/>
                    <w:tr2bl w:val="nil"/>
                  </w:tcBorders>
                  <w:vAlign w:val="center"/>
                </w:tcPr>
                <w:p>
                  <w:pPr>
                    <w:widowControl/>
                    <w:contextualSpacing/>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BOD</w:t>
                  </w:r>
                  <w:r>
                    <w:rPr>
                      <w:rFonts w:hint="eastAsia" w:ascii="Times New Roman" w:hAnsi="Times New Roman" w:eastAsia="宋体"/>
                      <w:color w:val="auto"/>
                      <w:sz w:val="24"/>
                      <w:szCs w:val="24"/>
                      <w:vertAlign w:val="subscript"/>
                      <w:lang w:val="en-US" w:eastAsia="zh-CN"/>
                    </w:rPr>
                    <w:t>5</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71.4</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56.9</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60.8</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74.6</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300</w:t>
                  </w:r>
                </w:p>
              </w:tc>
              <w:tc>
                <w:tcPr>
                  <w:tcW w:w="437"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CODcr</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248</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202</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213</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257</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500</w:t>
                  </w:r>
                </w:p>
              </w:tc>
              <w:tc>
                <w:tcPr>
                  <w:tcW w:w="437" w:type="pct"/>
                  <w:tcBorders>
                    <w:tl2br w:val="nil"/>
                    <w:tr2bl w:val="nil"/>
                  </w:tcBorders>
                  <w:vAlign w:val="center"/>
                </w:tcPr>
                <w:p>
                  <w:pPr>
                    <w:widowControl/>
                    <w:contextualSpacing/>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15"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55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石油类</w:t>
                  </w:r>
                </w:p>
              </w:tc>
              <w:tc>
                <w:tcPr>
                  <w:tcW w:w="349" w:type="pct"/>
                  <w:vMerge w:val="continue"/>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eastAsia="zh-CN"/>
                    </w:rPr>
                  </w:pPr>
                </w:p>
              </w:tc>
              <w:tc>
                <w:tcPr>
                  <w:tcW w:w="494"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mg/L</w:t>
                  </w:r>
                </w:p>
              </w:tc>
              <w:tc>
                <w:tcPr>
                  <w:tcW w:w="55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0.04(L)</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556"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559" w:type="pct"/>
                  <w:tcBorders>
                    <w:tl2br w:val="nil"/>
                    <w:tr2bl w:val="nil"/>
                  </w:tcBorders>
                  <w:vAlign w:val="center"/>
                </w:tcPr>
                <w:p>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olor w:val="auto"/>
                      <w:sz w:val="24"/>
                      <w:szCs w:val="24"/>
                      <w:lang w:val="en-US" w:eastAsia="zh-CN"/>
                    </w:rPr>
                    <w:t>0.04(L)</w:t>
                  </w:r>
                </w:p>
              </w:tc>
              <w:tc>
                <w:tcPr>
                  <w:tcW w:w="41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4"/>
                      <w:szCs w:val="24"/>
                      <w:lang w:val="en-US" w:eastAsia="zh-CN"/>
                    </w:rPr>
                    <w:t>20</w:t>
                  </w:r>
                </w:p>
              </w:tc>
              <w:tc>
                <w:tcPr>
                  <w:tcW w:w="437"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val="en-US" w:eastAsia="zh-CN"/>
                    </w:rPr>
                    <w:t>达标</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根据上表的监测数据表明，验收期间，</w:t>
            </w:r>
            <w:r>
              <w:rPr>
                <w:rFonts w:hint="eastAsia" w:ascii="Times New Roman" w:hAnsi="Times New Roman" w:cs="Times New Roman"/>
                <w:color w:val="auto"/>
                <w:sz w:val="28"/>
                <w:szCs w:val="28"/>
                <w:lang w:val="en-US" w:eastAsia="zh-CN"/>
              </w:rPr>
              <w:t>生活污水</w:t>
            </w:r>
            <w:r>
              <w:rPr>
                <w:rFonts w:hint="default" w:ascii="Times New Roman" w:hAnsi="Times New Roman" w:eastAsia="宋体" w:cs="Times New Roman"/>
                <w:color w:val="auto"/>
                <w:sz w:val="28"/>
                <w:szCs w:val="28"/>
                <w:lang w:eastAsia="zh-CN"/>
              </w:rPr>
              <w:t>总排口验收监测期间各监测因子浓度均符合</w:t>
            </w:r>
            <w:r>
              <w:rPr>
                <w:rFonts w:hint="default" w:ascii="Times New Roman" w:hAnsi="Times New Roman" w:eastAsia="宋体" w:cs="Times New Roman"/>
                <w:color w:val="auto"/>
                <w:sz w:val="28"/>
                <w:szCs w:val="28"/>
                <w:lang w:val="en-US" w:eastAsia="zh-CN"/>
              </w:rPr>
              <w:t>《污水综合排放标准》（GB8978-1996）</w:t>
            </w:r>
            <w:r>
              <w:rPr>
                <w:rFonts w:hint="eastAsia" w:ascii="Times New Roman" w:hAnsi="Times New Roman" w:cs="Times New Roman"/>
                <w:color w:val="auto"/>
                <w:sz w:val="28"/>
                <w:szCs w:val="28"/>
                <w:lang w:val="en-US" w:eastAsia="zh-CN"/>
              </w:rPr>
              <w:t>三级标准要求，氨氮能够满足《污水排入城镇下水道水质标准》（GB/T31962-2015）表1中B级标准</w:t>
            </w:r>
            <w:r>
              <w:rPr>
                <w:rFonts w:hint="default" w:ascii="Times New Roman" w:hAnsi="Times New Roman" w:eastAsia="宋体" w:cs="Times New Roman"/>
                <w:color w:val="auto"/>
                <w:sz w:val="28"/>
                <w:szCs w:val="28"/>
                <w:lang w:eastAsia="zh-CN"/>
              </w:rPr>
              <w:t>。</w:t>
            </w:r>
          </w:p>
          <w:p>
            <w:pPr>
              <w:pStyle w:val="5"/>
              <w:numPr>
                <w:ilvl w:val="0"/>
                <w:numId w:val="0"/>
              </w:numPr>
              <w:spacing w:line="360" w:lineRule="auto"/>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eastAsia="zh-CN"/>
              </w:rPr>
              <w:t>废气监测结果及评价</w:t>
            </w:r>
          </w:p>
          <w:p>
            <w:pPr>
              <w:pStyle w:val="5"/>
              <w:spacing w:line="360" w:lineRule="auto"/>
              <w:ind w:left="440" w:left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本次厂界无组织废气污染物排放监测结果详见表1</w:t>
            </w:r>
            <w:r>
              <w:rPr>
                <w:rFonts w:hint="eastAsia" w:ascii="Times New Roman" w:hAnsi="Times New Roman"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w:t>
            </w:r>
          </w:p>
          <w:p>
            <w:pPr>
              <w:pStyle w:val="28"/>
              <w:spacing w:before="156" w:beforeLines="50" w:after="156" w:afterLines="5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16</w:t>
            </w:r>
            <w:r>
              <w:rPr>
                <w:rFonts w:hint="default" w:ascii="Times New Roman" w:hAnsi="Times New Roman" w:eastAsia="宋体" w:cs="Times New Roman"/>
                <w:b/>
                <w:bCs/>
                <w:color w:val="auto"/>
                <w:sz w:val="24"/>
                <w:szCs w:val="24"/>
                <w:lang w:eastAsia="zh-CN"/>
              </w:rPr>
              <w:t xml:space="preserve">  厂界无组织废气监测结果一览表</w:t>
            </w:r>
            <w:r>
              <w:rPr>
                <w:rFonts w:hint="eastAsia" w:cs="Times New Roman"/>
                <w:b/>
                <w:bCs/>
                <w:color w:val="auto"/>
                <w:sz w:val="24"/>
                <w:szCs w:val="24"/>
                <w:lang w:val="en-US" w:eastAsia="zh-CN"/>
              </w:rPr>
              <w:t xml:space="preserve">   单位</w:t>
            </w:r>
            <w:r>
              <w:rPr>
                <w:rFonts w:ascii="Times New Roman" w:hAnsi="Times New Roman"/>
                <w:b/>
                <w:bCs/>
                <w:color w:val="auto"/>
                <w:kern w:val="0"/>
                <w:sz w:val="24"/>
                <w:szCs w:val="24"/>
                <w:highlight w:val="none"/>
              </w:rPr>
              <w:t>mg/m</w:t>
            </w:r>
            <w:r>
              <w:rPr>
                <w:rFonts w:ascii="Times New Roman" w:hAnsi="Times New Roman"/>
                <w:b/>
                <w:bCs/>
                <w:color w:val="auto"/>
                <w:kern w:val="0"/>
                <w:sz w:val="24"/>
                <w:szCs w:val="24"/>
                <w:highlight w:val="none"/>
                <w:vertAlign w:val="superscript"/>
              </w:rPr>
              <w:t>3</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834"/>
              <w:gridCol w:w="1287"/>
              <w:gridCol w:w="1091"/>
              <w:gridCol w:w="965"/>
              <w:gridCol w:w="992"/>
              <w:gridCol w:w="1017"/>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52" w:type="pct"/>
                  <w:vMerge w:val="restar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监测点位</w:t>
                  </w:r>
                </w:p>
              </w:tc>
              <w:tc>
                <w:tcPr>
                  <w:tcW w:w="498" w:type="pct"/>
                  <w:vMerge w:val="restar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监测时间</w:t>
                  </w:r>
                </w:p>
              </w:tc>
              <w:tc>
                <w:tcPr>
                  <w:tcW w:w="764" w:type="pct"/>
                  <w:vMerge w:val="restar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监测项目</w:t>
                  </w:r>
                </w:p>
              </w:tc>
              <w:tc>
                <w:tcPr>
                  <w:tcW w:w="2419" w:type="pct"/>
                  <w:gridSpan w:val="4"/>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监测结果</w:t>
                  </w:r>
                </w:p>
              </w:tc>
              <w:tc>
                <w:tcPr>
                  <w:tcW w:w="664" w:type="pct"/>
                  <w:vMerge w:val="restart"/>
                  <w:tcBorders>
                    <w:tl2br w:val="nil"/>
                    <w:tr2bl w:val="nil"/>
                  </w:tcBorders>
                  <w:shd w:val="clear" w:color="auto" w:fill="auto"/>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标准值（mg/m</w:t>
                  </w:r>
                  <w:r>
                    <w:rPr>
                      <w:rFonts w:hint="default" w:ascii="Times New Roman" w:hAnsi="Times New Roman" w:eastAsia="宋体" w:cs="Times New Roman"/>
                      <w:b/>
                      <w:bCs/>
                      <w:color w:val="auto"/>
                      <w:sz w:val="21"/>
                      <w:szCs w:val="21"/>
                      <w:vertAlign w:val="superscript"/>
                      <w:lang w:eastAsia="zh-CN"/>
                    </w:rPr>
                    <w:t>3</w:t>
                  </w:r>
                  <w:r>
                    <w:rPr>
                      <w:rFonts w:hint="default" w:ascii="Times New Roman" w:hAnsi="Times New Roman" w:eastAsia="宋体"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52" w:type="pct"/>
                  <w:vMerge w:val="continue"/>
                  <w:tcBorders>
                    <w:tl2br w:val="nil"/>
                    <w:tr2bl w:val="nil"/>
                  </w:tcBorders>
                  <w:shd w:val="clear" w:color="auto" w:fill="auto"/>
                  <w:vAlign w:val="center"/>
                </w:tcPr>
                <w:p>
                  <w:pPr>
                    <w:pStyle w:val="28"/>
                    <w:spacing w:line="240" w:lineRule="auto"/>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rPr>
                      <w:rFonts w:hint="default" w:ascii="Times New Roman" w:hAnsi="Times New Roman" w:eastAsia="宋体" w:cs="Times New Roman"/>
                      <w:color w:val="auto"/>
                      <w:sz w:val="21"/>
                      <w:szCs w:val="21"/>
                      <w:lang w:eastAsia="zh-CN"/>
                    </w:rPr>
                  </w:pPr>
                </w:p>
              </w:tc>
              <w:tc>
                <w:tcPr>
                  <w:tcW w:w="764" w:type="pct"/>
                  <w:vMerge w:val="continue"/>
                  <w:tcBorders>
                    <w:tl2br w:val="nil"/>
                    <w:tr2bl w:val="nil"/>
                  </w:tcBorders>
                  <w:shd w:val="clear" w:color="auto" w:fill="auto"/>
                  <w:vAlign w:val="center"/>
                </w:tcPr>
                <w:p>
                  <w:pPr>
                    <w:pStyle w:val="28"/>
                    <w:spacing w:line="240" w:lineRule="auto"/>
                    <w:rPr>
                      <w:rFonts w:hint="default" w:ascii="Times New Roman" w:hAnsi="Times New Roman" w:eastAsia="宋体" w:cs="Times New Roman"/>
                      <w:color w:val="auto"/>
                      <w:sz w:val="21"/>
                      <w:szCs w:val="21"/>
                      <w:lang w:eastAsia="zh-CN"/>
                    </w:rPr>
                  </w:pPr>
                </w:p>
              </w:tc>
              <w:tc>
                <w:tcPr>
                  <w:tcW w:w="649" w:type="pc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第一次</w:t>
                  </w:r>
                </w:p>
              </w:tc>
              <w:tc>
                <w:tcPr>
                  <w:tcW w:w="575" w:type="pc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第二次</w:t>
                  </w:r>
                </w:p>
              </w:tc>
              <w:tc>
                <w:tcPr>
                  <w:tcW w:w="590" w:type="pc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第三次</w:t>
                  </w:r>
                </w:p>
              </w:tc>
              <w:tc>
                <w:tcPr>
                  <w:tcW w:w="604" w:type="pct"/>
                  <w:tcBorders>
                    <w:tl2br w:val="nil"/>
                    <w:tr2bl w:val="nil"/>
                  </w:tcBorders>
                  <w:shd w:val="clear" w:color="auto" w:fill="auto"/>
                  <w:vAlign w:val="center"/>
                </w:tcPr>
                <w:p>
                  <w:pPr>
                    <w:pStyle w:val="28"/>
                    <w:spacing w:line="240" w:lineRule="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第四次</w:t>
                  </w:r>
                </w:p>
              </w:tc>
              <w:tc>
                <w:tcPr>
                  <w:tcW w:w="664" w:type="pct"/>
                  <w:vMerge w:val="continue"/>
                  <w:tcBorders>
                    <w:tl2br w:val="nil"/>
                    <w:tr2bl w:val="nil"/>
                  </w:tcBorders>
                  <w:shd w:val="clear" w:color="auto" w:fill="auto"/>
                </w:tcPr>
                <w:p>
                  <w:pPr>
                    <w:pStyle w:val="28"/>
                    <w:spacing w:line="240" w:lineRule="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1</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11月17日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0.072</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0.090</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0.092</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0.092</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2.57</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4"/>
                      <w:szCs w:val="24"/>
                      <w:highlight w:val="none"/>
                      <w:lang w:val="en-US" w:eastAsia="zh-CN"/>
                    </w:rPr>
                    <w:t>2.61</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4"/>
                      <w:szCs w:val="24"/>
                      <w:highlight w:val="none"/>
                      <w:lang w:val="en-US" w:eastAsia="zh-CN"/>
                    </w:rPr>
                    <w:t>2.50</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4"/>
                      <w:szCs w:val="24"/>
                      <w:highlight w:val="none"/>
                      <w:lang w:val="en-US" w:eastAsia="zh-CN"/>
                    </w:rPr>
                    <w:t>2.62</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0.23</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0.22</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0.20</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2</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11月17日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0.090</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0.108</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0.110</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0.055</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2.54</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2.59</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2.64</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2.39</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0.22</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0.21</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0.24</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3</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11月17日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0.054</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0.054</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0.055</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0.073</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2.59</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2.70</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2.29</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2.19</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0.19</w:t>
                  </w:r>
                </w:p>
              </w:tc>
              <w:tc>
                <w:tcPr>
                  <w:tcW w:w="1025" w:type="dxa"/>
                  <w:tcBorders>
                    <w:tl2br w:val="nil"/>
                    <w:tr2bl w:val="nil"/>
                  </w:tcBorders>
                  <w:shd w:val="clear" w:color="auto" w:fill="auto"/>
                  <w:vAlign w:val="center"/>
                </w:tcPr>
                <w:p>
                  <w:pPr>
                    <w:numPr>
                      <w:ilvl w:val="0"/>
                      <w:numId w:val="0"/>
                    </w:num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kern w:val="0"/>
                      <w:sz w:val="24"/>
                      <w:szCs w:val="24"/>
                      <w:highlight w:val="none"/>
                      <w:lang w:val="en-US" w:eastAsia="zh-CN"/>
                    </w:rPr>
                    <w:t>0.20</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1</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11月18日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0.125</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0.107</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0.055</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0.110</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2.32</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2.48</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2.32</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2.17</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0.21</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0.21</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0.20</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2</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11月18日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0.072</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0.089</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0.092</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0.092</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2.50</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2.41</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2.79</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2.13</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0.19</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0.22</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0.21</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0.20</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厂界下风向点</w:t>
                  </w:r>
                  <w:r>
                    <w:rPr>
                      <w:rFonts w:hint="default" w:ascii="Times New Roman" w:hAnsi="Times New Roman" w:eastAsia="宋体" w:cs="Times New Roman"/>
                      <w:color w:val="auto"/>
                      <w:sz w:val="21"/>
                      <w:szCs w:val="21"/>
                      <w:lang w:val="en-US" w:eastAsia="zh-CN"/>
                    </w:rPr>
                    <w:t>3</w:t>
                  </w:r>
                </w:p>
              </w:tc>
              <w:tc>
                <w:tcPr>
                  <w:tcW w:w="498" w:type="pct"/>
                  <w:vMerge w:val="restart"/>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highlight w:val="none"/>
                      <w:lang w:val="en-US" w:eastAsia="zh-CN"/>
                    </w:rPr>
                    <w:t>11月18日</w:t>
                  </w: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0.054</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0.143</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0.074</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0.110</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氮氧化物</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0.005（L）</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lang w:eastAsia="zh-CN"/>
                    </w:rPr>
                    <w:t>非甲烷总烃</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2.51</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2.54</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2.18</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2.15</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498" w:type="pct"/>
                  <w:vMerge w:val="continue"/>
                  <w:tcBorders>
                    <w:tl2br w:val="nil"/>
                    <w:tr2bl w:val="nil"/>
                  </w:tcBorders>
                  <w:shd w:val="clear" w:color="auto" w:fill="auto"/>
                  <w:vAlign w:val="center"/>
                </w:tcPr>
                <w:p>
                  <w:pPr>
                    <w:pStyle w:val="28"/>
                    <w:spacing w:line="240" w:lineRule="auto"/>
                    <w:jc w:val="center"/>
                    <w:rPr>
                      <w:rFonts w:hint="default" w:ascii="Times New Roman" w:hAnsi="Times New Roman" w:eastAsia="宋体" w:cs="Times New Roman"/>
                      <w:color w:val="auto"/>
                      <w:sz w:val="21"/>
                      <w:szCs w:val="21"/>
                      <w:lang w:eastAsia="zh-CN"/>
                    </w:rPr>
                  </w:pPr>
                </w:p>
              </w:tc>
              <w:tc>
                <w:tcPr>
                  <w:tcW w:w="764"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highlight w:val="none"/>
                      <w:lang w:eastAsia="zh-CN"/>
                    </w:rPr>
                    <w:t>一氧化碳</w:t>
                  </w:r>
                </w:p>
              </w:tc>
              <w:tc>
                <w:tcPr>
                  <w:tcW w:w="11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0.22</w:t>
                  </w:r>
                </w:p>
              </w:tc>
              <w:tc>
                <w:tcPr>
                  <w:tcW w:w="97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0.24</w:t>
                  </w:r>
                </w:p>
              </w:tc>
              <w:tc>
                <w:tcPr>
                  <w:tcW w:w="100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0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highlight w:val="none"/>
                      <w:lang w:val="en-US" w:eastAsia="zh-CN"/>
                    </w:rPr>
                    <w:t>0.23</w:t>
                  </w:r>
                </w:p>
              </w:tc>
              <w:tc>
                <w:tcPr>
                  <w:tcW w:w="11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4"/>
                      <w:szCs w:val="24"/>
                      <w:highlight w:val="none"/>
                      <w:lang w:val="en-US" w:eastAsia="zh-CN"/>
                    </w:rPr>
                    <w:t>8</w:t>
                  </w:r>
                </w:p>
              </w:tc>
            </w:tr>
          </w:tbl>
          <w:p>
            <w:pPr>
              <w:pStyle w:val="5"/>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由表1</w:t>
            </w:r>
            <w:r>
              <w:rPr>
                <w:rFonts w:hint="eastAsia" w:ascii="Times New Roman" w:hAnsi="Times New Roman" w:cs="Times New Roman"/>
                <w:color w:val="auto"/>
                <w:sz w:val="28"/>
                <w:szCs w:val="28"/>
                <w:lang w:val="en-US" w:eastAsia="zh-CN"/>
              </w:rPr>
              <w:t>6</w:t>
            </w:r>
            <w:r>
              <w:rPr>
                <w:rFonts w:hint="default" w:ascii="Times New Roman" w:hAnsi="Times New Roman" w:eastAsia="宋体" w:cs="Times New Roman"/>
                <w:color w:val="auto"/>
                <w:sz w:val="28"/>
                <w:szCs w:val="28"/>
                <w:lang w:eastAsia="zh-CN"/>
              </w:rPr>
              <w:t>监测结果可知，本项目</w:t>
            </w:r>
            <w:r>
              <w:rPr>
                <w:rFonts w:hint="eastAsia" w:ascii="Times New Roman" w:hAnsi="Times New Roman" w:cs="Times New Roman"/>
                <w:color w:val="auto"/>
                <w:sz w:val="28"/>
                <w:szCs w:val="28"/>
                <w:lang w:val="en-US" w:eastAsia="zh-CN"/>
              </w:rPr>
              <w:t>厂界</w:t>
            </w:r>
            <w:r>
              <w:rPr>
                <w:rFonts w:hint="default" w:ascii="Times New Roman" w:hAnsi="Times New Roman" w:eastAsia="宋体" w:cs="Times New Roman"/>
                <w:color w:val="auto"/>
                <w:sz w:val="28"/>
                <w:szCs w:val="28"/>
                <w:lang w:eastAsia="zh-CN"/>
              </w:rPr>
              <w:t>无组织废气</w:t>
            </w:r>
            <w:r>
              <w:rPr>
                <w:rFonts w:hint="eastAsia" w:ascii="Times New Roman" w:hAnsi="Times New Roman" w:cs="Times New Roman"/>
                <w:color w:val="auto"/>
                <w:sz w:val="28"/>
                <w:szCs w:val="28"/>
                <w:lang w:val="en-US" w:eastAsia="zh-CN"/>
              </w:rPr>
              <w:t>均</w:t>
            </w:r>
            <w:r>
              <w:rPr>
                <w:rFonts w:hint="default" w:ascii="Times New Roman" w:hAnsi="Times New Roman" w:eastAsia="宋体" w:cs="Times New Roman"/>
                <w:color w:val="auto"/>
                <w:sz w:val="28"/>
                <w:szCs w:val="28"/>
                <w:lang w:eastAsia="zh-CN"/>
              </w:rPr>
              <w:t>符合</w:t>
            </w:r>
            <w:r>
              <w:rPr>
                <w:rFonts w:hint="default" w:ascii="Times New Roman" w:hAnsi="Times New Roman" w:eastAsia="宋体" w:cs="Times New Roman"/>
                <w:color w:val="auto"/>
                <w:sz w:val="28"/>
                <w:szCs w:val="28"/>
                <w:lang w:val="en-US" w:eastAsia="zh-CN"/>
              </w:rPr>
              <w:t>《大气污染物综合排放标准》（GB16297-1996）中表2无组织限值</w:t>
            </w:r>
            <w:r>
              <w:rPr>
                <w:rFonts w:hint="eastAsia" w:ascii="Times New Roman" w:hAnsi="Times New Roman" w:cs="Times New Roman"/>
                <w:color w:val="auto"/>
                <w:sz w:val="28"/>
                <w:szCs w:val="28"/>
                <w:lang w:val="en-US" w:eastAsia="zh-CN"/>
              </w:rPr>
              <w:t>要求，CO满足广东省地方标准《大气污染物排放限值》（DB44/27-2001）第二时段无组织排放监控浓度限值</w:t>
            </w:r>
            <w:r>
              <w:rPr>
                <w:rFonts w:hint="default" w:ascii="Times New Roman" w:hAnsi="Times New Roman" w:eastAsia="宋体" w:cs="Times New Roman"/>
                <w:color w:val="auto"/>
                <w:sz w:val="28"/>
                <w:szCs w:val="28"/>
                <w:lang w:val="en-US" w:eastAsia="zh-CN"/>
              </w:rPr>
              <w:t>。</w:t>
            </w:r>
          </w:p>
          <w:p>
            <w:pPr>
              <w:pStyle w:val="5"/>
              <w:numPr>
                <w:ilvl w:val="0"/>
                <w:numId w:val="0"/>
              </w:numPr>
              <w:spacing w:line="360" w:lineRule="auto"/>
              <w:ind w:firstLine="560" w:firstLineChars="20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eastAsia="zh-CN"/>
              </w:rPr>
              <w:t>噪声</w:t>
            </w:r>
            <w:r>
              <w:rPr>
                <w:rFonts w:hint="default" w:ascii="Times New Roman" w:hAnsi="Times New Roman" w:eastAsia="宋体" w:cs="Times New Roman"/>
                <w:color w:val="auto"/>
                <w:sz w:val="28"/>
                <w:szCs w:val="28"/>
              </w:rPr>
              <w:t>监测结果及评价</w:t>
            </w:r>
          </w:p>
          <w:p>
            <w:pPr>
              <w:spacing w:line="360" w:lineRule="auto"/>
              <w:ind w:firstLine="48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本工程噪声监测结果详见表</w:t>
            </w:r>
            <w:r>
              <w:rPr>
                <w:rFonts w:hint="eastAsia" w:ascii="Times New Roman" w:hAnsi="Times New Roman" w:cs="Times New Roman"/>
                <w:color w:val="auto"/>
                <w:sz w:val="28"/>
                <w:szCs w:val="28"/>
                <w:lang w:val="en-US" w:eastAsia="zh-CN"/>
              </w:rPr>
              <w:t>17</w:t>
            </w:r>
            <w:r>
              <w:rPr>
                <w:rFonts w:hint="default" w:ascii="Times New Roman" w:hAnsi="Times New Roman" w:eastAsia="宋体" w:cs="Times New Roman"/>
                <w:color w:val="auto"/>
                <w:sz w:val="28"/>
                <w:szCs w:val="28"/>
                <w:lang w:eastAsia="zh-CN"/>
              </w:rPr>
              <w:t>：</w:t>
            </w:r>
          </w:p>
          <w:p>
            <w:pPr>
              <w:pStyle w:val="28"/>
              <w:spacing w:before="156" w:beforeLines="50" w:after="156" w:afterLines="5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eastAsia="zh-CN"/>
              </w:rPr>
              <w:t xml:space="preserve">  厂界噪声监测结果一览表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404"/>
              <w:gridCol w:w="1146"/>
              <w:gridCol w:w="1222"/>
              <w:gridCol w:w="1242"/>
              <w:gridCol w:w="1229"/>
              <w:gridCol w:w="1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点位序号</w:t>
                  </w:r>
                </w:p>
              </w:tc>
              <w:tc>
                <w:tcPr>
                  <w:tcW w:w="826" w:type="pct"/>
                  <w:vMerge w:val="restar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采样位置</w:t>
                  </w:r>
                </w:p>
              </w:tc>
              <w:tc>
                <w:tcPr>
                  <w:tcW w:w="674" w:type="pct"/>
                  <w:vMerge w:val="restar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1450" w:type="pct"/>
                  <w:gridSpan w:val="2"/>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检测结果dB(A)</w:t>
                  </w:r>
                </w:p>
              </w:tc>
              <w:tc>
                <w:tcPr>
                  <w:tcW w:w="1446" w:type="pct"/>
                  <w:gridSpan w:val="2"/>
                  <w:tcBorders>
                    <w:tl2br w:val="nil"/>
                    <w:tr2bl w:val="nil"/>
                  </w:tcBorders>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p>
              </w:tc>
              <w:tc>
                <w:tcPr>
                  <w:tcW w:w="674" w:type="pct"/>
                  <w:vMerge w:val="continue"/>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p>
              </w:tc>
              <w:tc>
                <w:tcPr>
                  <w:tcW w:w="719" w:type="pc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 昼间</w:t>
                  </w:r>
                </w:p>
              </w:tc>
              <w:tc>
                <w:tcPr>
                  <w:tcW w:w="730" w:type="pc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夜间</w:t>
                  </w:r>
                </w:p>
              </w:tc>
              <w:tc>
                <w:tcPr>
                  <w:tcW w:w="723" w:type="pc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 昼间</w:t>
                  </w:r>
                </w:p>
              </w:tc>
              <w:tc>
                <w:tcPr>
                  <w:tcW w:w="723" w:type="pct"/>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N1</w:t>
                  </w:r>
                </w:p>
              </w:tc>
              <w:tc>
                <w:tcPr>
                  <w:tcW w:w="826"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厂界东侧外一米处</w:t>
                  </w:r>
                </w:p>
              </w:tc>
              <w:tc>
                <w:tcPr>
                  <w:tcW w:w="674"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17</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59.2</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47.6</w:t>
                  </w:r>
                </w:p>
              </w:tc>
              <w:tc>
                <w:tcPr>
                  <w:tcW w:w="723"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65</w:t>
                  </w:r>
                </w:p>
              </w:tc>
              <w:tc>
                <w:tcPr>
                  <w:tcW w:w="723"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674"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58.3</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46.2</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N2</w:t>
                  </w:r>
                </w:p>
              </w:tc>
              <w:tc>
                <w:tcPr>
                  <w:tcW w:w="826"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厂界南侧外一米处</w:t>
                  </w: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17</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63.2</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47.2</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kern w:val="0"/>
                      <w:sz w:val="24"/>
                      <w:szCs w:val="24"/>
                      <w:lang w:val="en-US" w:eastAsia="zh-CN"/>
                    </w:rPr>
                    <w:t>61</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49.8</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N3</w:t>
                  </w:r>
                </w:p>
              </w:tc>
              <w:tc>
                <w:tcPr>
                  <w:tcW w:w="826"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厂界西侧外一米处</w:t>
                  </w: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17</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59.7</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48.1</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59.5</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47.3</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N4</w:t>
                  </w:r>
                </w:p>
              </w:tc>
              <w:tc>
                <w:tcPr>
                  <w:tcW w:w="826"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厂界北侧外一米处</w:t>
                  </w: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17</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55.0</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46.2</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zh-CN"/>
                    </w:rPr>
                  </w:pPr>
                </w:p>
              </w:tc>
              <w:tc>
                <w:tcPr>
                  <w:tcW w:w="1145"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eastAsia="宋体" w:cs="Times New Roman"/>
                      <w:color w:val="auto"/>
                      <w:sz w:val="21"/>
                      <w:szCs w:val="21"/>
                      <w:lang w:eastAsia="zh-CN"/>
                    </w:rPr>
                    <w:t>月</w:t>
                  </w:r>
                  <w:r>
                    <w:rPr>
                      <w:rFonts w:hint="eastAsia" w:ascii="Times New Roman" w:hAnsi="Times New Roman" w:cs="Times New Roman"/>
                      <w:color w:val="auto"/>
                      <w:sz w:val="21"/>
                      <w:szCs w:val="21"/>
                      <w:lang w:val="en-US" w:eastAsia="zh-CN"/>
                    </w:rPr>
                    <w:t>18</w:t>
                  </w:r>
                  <w:r>
                    <w:rPr>
                      <w:rFonts w:hint="default" w:ascii="Times New Roman" w:hAnsi="Times New Roman" w:eastAsia="宋体" w:cs="Times New Roman"/>
                      <w:color w:val="auto"/>
                      <w:sz w:val="21"/>
                      <w:szCs w:val="21"/>
                      <w:lang w:eastAsia="zh-CN"/>
                    </w:rPr>
                    <w:t>日</w:t>
                  </w:r>
                </w:p>
              </w:tc>
              <w:tc>
                <w:tcPr>
                  <w:tcW w:w="1221"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rPr>
                    <w:t>57.8</w:t>
                  </w:r>
                </w:p>
              </w:tc>
              <w:tc>
                <w:tcPr>
                  <w:tcW w:w="1242"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4"/>
                      <w:szCs w:val="24"/>
                      <w:lang w:val="en-US" w:eastAsia="zh-CN" w:bidi="ar-SA"/>
                    </w:rPr>
                    <w:t>47.7</w:t>
                  </w:r>
                </w:p>
              </w:tc>
              <w:tc>
                <w:tcPr>
                  <w:tcW w:w="1228"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65</w:t>
                  </w:r>
                </w:p>
              </w:tc>
              <w:tc>
                <w:tcPr>
                  <w:tcW w:w="1235" w:type="dxa"/>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00" w:type="pct"/>
                  <w:gridSpan w:val="7"/>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r>
                    <w:rPr>
                      <w:rFonts w:hint="default" w:ascii="Times New Roman" w:hAnsi="Times New Roman" w:eastAsia="宋体" w:cs="Times New Roman"/>
                      <w:color w:val="auto"/>
                      <w:sz w:val="21"/>
                      <w:szCs w:val="21"/>
                      <w:lang w:val="en-US" w:eastAsia="zh-CN"/>
                    </w:rPr>
                    <w:t>《工业企业厂界环境噪声排放标准》（GB12348-2008）</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类标准</w:t>
                  </w:r>
                </w:p>
              </w:tc>
            </w:tr>
          </w:tbl>
          <w:p>
            <w:pPr>
              <w:spacing w:line="360" w:lineRule="auto"/>
              <w:ind w:firstLine="480"/>
              <w:jc w:val="both"/>
              <w:rPr>
                <w:rFonts w:hint="eastAsia" w:ascii="Times New Roman" w:hAnsi="Times New Roman" w:cs="Times New Roman"/>
                <w:lang w:eastAsia="zh-CN"/>
              </w:rPr>
            </w:pPr>
            <w:r>
              <w:rPr>
                <w:rFonts w:hint="default" w:ascii="Times New Roman" w:hAnsi="Times New Roman" w:eastAsia="宋体" w:cs="Times New Roman"/>
                <w:color w:val="auto"/>
                <w:sz w:val="28"/>
                <w:szCs w:val="28"/>
                <w:lang w:eastAsia="zh-CN"/>
              </w:rPr>
              <w:t>由表1</w:t>
            </w:r>
            <w:r>
              <w:rPr>
                <w:rFonts w:hint="eastAsia" w:ascii="Times New Roman" w:hAnsi="Times New Roman" w:cs="Times New Roman"/>
                <w:color w:val="auto"/>
                <w:sz w:val="28"/>
                <w:szCs w:val="28"/>
                <w:lang w:val="en-US" w:eastAsia="zh-CN"/>
              </w:rPr>
              <w:t>7</w:t>
            </w:r>
            <w:r>
              <w:rPr>
                <w:rFonts w:hint="default" w:ascii="Times New Roman" w:hAnsi="Times New Roman" w:eastAsia="宋体" w:cs="Times New Roman"/>
                <w:color w:val="auto"/>
                <w:sz w:val="28"/>
                <w:szCs w:val="28"/>
                <w:lang w:eastAsia="zh-CN"/>
              </w:rPr>
              <w:t>可知，本项目验收期间厂界昼</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夜</w:t>
            </w:r>
            <w:r>
              <w:rPr>
                <w:rFonts w:hint="default" w:ascii="Times New Roman" w:hAnsi="Times New Roman" w:eastAsia="宋体" w:cs="Times New Roman"/>
                <w:color w:val="auto"/>
                <w:sz w:val="28"/>
                <w:szCs w:val="28"/>
                <w:lang w:eastAsia="zh-CN"/>
              </w:rPr>
              <w:t>间</w:t>
            </w:r>
            <w:r>
              <w:rPr>
                <w:rFonts w:hint="eastAsia" w:ascii="Times New Roman" w:hAnsi="Times New Roman" w:cs="Times New Roman"/>
                <w:color w:val="auto"/>
                <w:sz w:val="28"/>
                <w:szCs w:val="28"/>
                <w:lang w:val="en-US" w:eastAsia="zh-CN"/>
              </w:rPr>
              <w:t>噪声</w:t>
            </w:r>
            <w:r>
              <w:rPr>
                <w:rFonts w:hint="default" w:ascii="Times New Roman" w:hAnsi="Times New Roman" w:eastAsia="宋体" w:cs="Times New Roman"/>
                <w:color w:val="auto"/>
                <w:sz w:val="28"/>
                <w:szCs w:val="28"/>
                <w:lang w:eastAsia="zh-CN"/>
              </w:rPr>
              <w:t>均能达到</w:t>
            </w:r>
            <w:r>
              <w:rPr>
                <w:rFonts w:hint="default" w:ascii="Times New Roman" w:hAnsi="Times New Roman" w:eastAsia="宋体" w:cs="Times New Roman"/>
                <w:color w:val="auto"/>
                <w:sz w:val="28"/>
                <w:szCs w:val="28"/>
                <w:lang w:val="en-US" w:eastAsia="zh-CN"/>
              </w:rPr>
              <w:t>《工业企业厂界环境噪声排放标准》（GB 12348-2008）</w:t>
            </w:r>
            <w:r>
              <w:rPr>
                <w:rFonts w:hint="eastAsia"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类标准。</w:t>
            </w:r>
            <w:r>
              <w:rPr>
                <w:rFonts w:hint="eastAsia" w:ascii="Times New Roman" w:hAnsi="Times New Roman" w:cs="Times New Roman"/>
                <w:color w:val="auto"/>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eastAsia" w:ascii="Times New Roman" w:hAnsi="Times New Roman" w:cs="Times New Roman"/>
                <w:lang w:eastAsia="zh-CN"/>
              </w:rPr>
            </w:pPr>
          </w:p>
          <w:p>
            <w:pPr>
              <w:spacing w:line="360" w:lineRule="auto"/>
              <w:ind w:firstLine="480"/>
              <w:jc w:val="both"/>
              <w:rPr>
                <w:rFonts w:hint="default" w:ascii="Times New Roman" w:hAnsi="Times New Roman" w:eastAsia="宋体" w:cs="Times New Roman"/>
                <w:lang w:val="en-US" w:eastAsia="zh-CN"/>
              </w:rPr>
            </w:pP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表八</w:t>
      </w:r>
    </w:p>
    <w:tbl>
      <w:tblPr>
        <w:tblStyle w:val="19"/>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303" w:type="dxa"/>
            <w:tcBorders>
              <w:tl2br w:val="nil"/>
              <w:tr2bl w:val="nil"/>
            </w:tcBorders>
          </w:tcPr>
          <w:p>
            <w:pPr>
              <w:pStyle w:val="5"/>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验收监测结论：</w:t>
            </w:r>
          </w:p>
          <w:p>
            <w:pPr>
              <w:pStyle w:val="5"/>
              <w:spacing w:line="360" w:lineRule="auto"/>
              <w:ind w:firstLine="562" w:firstLineChars="200"/>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1、验收监测达标情况</w:t>
            </w:r>
          </w:p>
          <w:p>
            <w:pPr>
              <w:pStyle w:val="5"/>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废气</w:t>
            </w:r>
          </w:p>
          <w:p>
            <w:pPr>
              <w:pStyle w:val="5"/>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lang w:val="en-US" w:eastAsia="zh-CN"/>
              </w:rPr>
              <w:t>验收监测期间，</w:t>
            </w:r>
            <w:r>
              <w:rPr>
                <w:rFonts w:hint="default" w:ascii="Times New Roman" w:hAnsi="Times New Roman" w:eastAsia="宋体" w:cs="Times New Roman"/>
                <w:color w:val="auto"/>
                <w:sz w:val="28"/>
                <w:szCs w:val="28"/>
                <w:lang w:eastAsia="zh-CN"/>
              </w:rPr>
              <w:t>本项目</w:t>
            </w:r>
            <w:r>
              <w:rPr>
                <w:rFonts w:hint="eastAsia" w:ascii="Times New Roman" w:hAnsi="Times New Roman" w:cs="Times New Roman"/>
                <w:color w:val="auto"/>
                <w:sz w:val="28"/>
                <w:szCs w:val="28"/>
                <w:lang w:val="en-US" w:eastAsia="zh-CN"/>
              </w:rPr>
              <w:t>厂界</w:t>
            </w:r>
            <w:r>
              <w:rPr>
                <w:rFonts w:hint="default" w:ascii="Times New Roman" w:hAnsi="Times New Roman" w:eastAsia="宋体" w:cs="Times New Roman"/>
                <w:color w:val="auto"/>
                <w:sz w:val="28"/>
                <w:szCs w:val="28"/>
                <w:lang w:eastAsia="zh-CN"/>
              </w:rPr>
              <w:t>无组织废气</w:t>
            </w:r>
            <w:r>
              <w:rPr>
                <w:rFonts w:hint="eastAsia" w:ascii="Times New Roman" w:hAnsi="Times New Roman" w:cs="Times New Roman"/>
                <w:color w:val="auto"/>
                <w:sz w:val="28"/>
                <w:szCs w:val="28"/>
                <w:lang w:val="en-US" w:eastAsia="zh-CN"/>
              </w:rPr>
              <w:t>均满足</w:t>
            </w:r>
            <w:r>
              <w:rPr>
                <w:rFonts w:hint="default" w:ascii="Times New Roman" w:hAnsi="Times New Roman" w:eastAsia="宋体" w:cs="Times New Roman"/>
                <w:color w:val="auto"/>
                <w:sz w:val="28"/>
                <w:szCs w:val="28"/>
                <w:lang w:val="en-US" w:eastAsia="zh-CN"/>
              </w:rPr>
              <w:t>《大气污染物综合排放标准》（GB16297-1996）中表2无组织限值</w:t>
            </w:r>
            <w:r>
              <w:rPr>
                <w:rFonts w:hint="eastAsia" w:ascii="Times New Roman" w:hAnsi="Times New Roman" w:cs="Times New Roman"/>
                <w:color w:val="auto"/>
                <w:sz w:val="28"/>
                <w:szCs w:val="28"/>
                <w:lang w:val="en-US" w:eastAsia="zh-CN"/>
              </w:rPr>
              <w:t>要求，CO满足广东省地方标准《大气污染物排放限值》（DB44/27-2001）第二时段无组织排放监控浓度限值（参考标准）</w:t>
            </w:r>
            <w:r>
              <w:rPr>
                <w:rFonts w:hint="default" w:ascii="Times New Roman" w:hAnsi="Times New Roman" w:eastAsia="宋体" w:cs="Times New Roman"/>
                <w:color w:val="auto"/>
                <w:sz w:val="28"/>
                <w:szCs w:val="28"/>
                <w:lang w:val="en-US" w:eastAsia="zh-CN"/>
              </w:rPr>
              <w:t>。</w:t>
            </w:r>
          </w:p>
          <w:p>
            <w:pPr>
              <w:pStyle w:val="5"/>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eastAsia="zh-CN"/>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lang w:val="en-US" w:eastAsia="zh-CN"/>
              </w:rPr>
              <w:t>验收监测期间</w:t>
            </w:r>
            <w:r>
              <w:rPr>
                <w:rFonts w:hint="default" w:ascii="Times New Roman" w:hAnsi="Times New Roman" w:eastAsia="宋体" w:cs="Times New Roman"/>
                <w:color w:val="auto"/>
                <w:sz w:val="28"/>
                <w:szCs w:val="28"/>
                <w:lang w:eastAsia="zh-CN"/>
              </w:rPr>
              <w:t>，</w:t>
            </w:r>
            <w:r>
              <w:rPr>
                <w:rFonts w:hint="eastAsia" w:ascii="Times New Roman" w:hAnsi="Times New Roman" w:cs="Times New Roman"/>
                <w:color w:val="auto"/>
                <w:sz w:val="28"/>
                <w:szCs w:val="28"/>
                <w:lang w:val="en-US" w:eastAsia="zh-CN"/>
              </w:rPr>
              <w:t>本项目生活污水</w:t>
            </w:r>
            <w:r>
              <w:rPr>
                <w:rFonts w:hint="default" w:ascii="Times New Roman" w:hAnsi="Times New Roman" w:eastAsia="宋体" w:cs="Times New Roman"/>
                <w:color w:val="auto"/>
                <w:sz w:val="28"/>
                <w:szCs w:val="28"/>
                <w:lang w:eastAsia="zh-CN"/>
              </w:rPr>
              <w:t>总排口验收监测期间各监测因子浓度均符合</w:t>
            </w:r>
            <w:r>
              <w:rPr>
                <w:rFonts w:hint="default" w:ascii="Times New Roman" w:hAnsi="Times New Roman" w:eastAsia="宋体" w:cs="Times New Roman"/>
                <w:color w:val="auto"/>
                <w:sz w:val="28"/>
                <w:szCs w:val="28"/>
                <w:lang w:val="en-US" w:eastAsia="zh-CN"/>
              </w:rPr>
              <w:t>《污水综合排放标准》（GB8978-1996）</w:t>
            </w:r>
            <w:r>
              <w:rPr>
                <w:rFonts w:hint="eastAsia" w:ascii="Times New Roman" w:hAnsi="Times New Roman" w:cs="Times New Roman"/>
                <w:color w:val="auto"/>
                <w:sz w:val="28"/>
                <w:szCs w:val="28"/>
                <w:lang w:val="en-US" w:eastAsia="zh-CN"/>
              </w:rPr>
              <w:t>三级标准要求，氨氮能够满足《污水排入城镇下水道水质标准》（GB/T31962-2015）表1中B级标准（参考标准）</w:t>
            </w:r>
            <w:r>
              <w:rPr>
                <w:rFonts w:hint="default" w:ascii="Times New Roman" w:hAnsi="Times New Roman" w:eastAsia="宋体" w:cs="Times New Roman"/>
                <w:color w:val="auto"/>
                <w:sz w:val="28"/>
                <w:szCs w:val="28"/>
                <w:lang w:eastAsia="zh-CN"/>
              </w:rPr>
              <w:t>。</w:t>
            </w:r>
          </w:p>
          <w:p>
            <w:pPr>
              <w:pStyle w:val="5"/>
              <w:numPr>
                <w:ilvl w:val="0"/>
                <w:numId w:val="1"/>
              </w:numPr>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噪声</w:t>
            </w:r>
          </w:p>
          <w:p>
            <w:pPr>
              <w:pStyle w:val="5"/>
              <w:numPr>
                <w:ilvl w:val="0"/>
                <w:numId w:val="0"/>
              </w:numPr>
              <w:spacing w:line="360" w:lineRule="auto"/>
              <w:ind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本项目验收期间</w:t>
            </w:r>
            <w:r>
              <w:rPr>
                <w:rFonts w:hint="eastAsia" w:ascii="Times New Roman" w:hAnsi="Times New Roman" w:cs="Times New Roman"/>
                <w:color w:val="auto"/>
                <w:sz w:val="28"/>
                <w:szCs w:val="28"/>
                <w:lang w:eastAsia="zh-CN"/>
              </w:rPr>
              <w:t>，</w:t>
            </w:r>
            <w:r>
              <w:rPr>
                <w:rFonts w:hint="default" w:ascii="Times New Roman" w:hAnsi="Times New Roman" w:eastAsia="宋体" w:cs="Times New Roman"/>
                <w:color w:val="auto"/>
                <w:sz w:val="28"/>
                <w:szCs w:val="28"/>
                <w:lang w:eastAsia="zh-CN"/>
              </w:rPr>
              <w:t>厂界四周昼</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夜</w:t>
            </w:r>
            <w:r>
              <w:rPr>
                <w:rFonts w:hint="default" w:ascii="Times New Roman" w:hAnsi="Times New Roman" w:eastAsia="宋体" w:cs="Times New Roman"/>
                <w:color w:val="auto"/>
                <w:sz w:val="28"/>
                <w:szCs w:val="28"/>
                <w:lang w:eastAsia="zh-CN"/>
              </w:rPr>
              <w:t>间</w:t>
            </w:r>
            <w:r>
              <w:rPr>
                <w:rFonts w:hint="eastAsia" w:ascii="Times New Roman" w:hAnsi="Times New Roman" w:cs="Times New Roman"/>
                <w:color w:val="auto"/>
                <w:sz w:val="28"/>
                <w:szCs w:val="28"/>
                <w:lang w:val="en-US" w:eastAsia="zh-CN"/>
              </w:rPr>
              <w:t>噪声</w:t>
            </w:r>
            <w:r>
              <w:rPr>
                <w:rFonts w:hint="default" w:ascii="Times New Roman" w:hAnsi="Times New Roman" w:eastAsia="宋体" w:cs="Times New Roman"/>
                <w:color w:val="auto"/>
                <w:sz w:val="28"/>
                <w:szCs w:val="28"/>
                <w:lang w:eastAsia="zh-CN"/>
              </w:rPr>
              <w:t>均能达到</w:t>
            </w:r>
            <w:r>
              <w:rPr>
                <w:rFonts w:hint="default" w:ascii="Times New Roman" w:hAnsi="Times New Roman" w:eastAsia="宋体" w:cs="Times New Roman"/>
                <w:color w:val="auto"/>
                <w:sz w:val="28"/>
                <w:szCs w:val="28"/>
                <w:lang w:val="en-US" w:eastAsia="zh-CN"/>
              </w:rPr>
              <w:t>《工业企业厂界环境噪声排放标准》（GB 12348-2008）</w:t>
            </w:r>
            <w:r>
              <w:rPr>
                <w:rFonts w:hint="eastAsia"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类标准。</w:t>
            </w:r>
          </w:p>
          <w:p>
            <w:pPr>
              <w:pStyle w:val="5"/>
              <w:numPr>
                <w:ilvl w:val="0"/>
                <w:numId w:val="1"/>
              </w:numPr>
              <w:spacing w:line="360" w:lineRule="auto"/>
              <w:ind w:left="0" w:leftChars="0" w:firstLine="560" w:firstLineChars="200"/>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固废</w:t>
            </w:r>
          </w:p>
          <w:p>
            <w:pPr>
              <w:pStyle w:val="5"/>
              <w:numPr>
                <w:ilvl w:val="0"/>
                <w:numId w:val="0"/>
              </w:numPr>
              <w:spacing w:line="360" w:lineRule="auto"/>
              <w:ind w:firstLine="560" w:firstLineChars="200"/>
              <w:jc w:val="both"/>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生产营运期间，所有固废均去除明确，处置合理，满足环保管理要求。</w:t>
            </w:r>
          </w:p>
          <w:p>
            <w:pPr>
              <w:pStyle w:val="5"/>
              <w:numPr>
                <w:ilvl w:val="0"/>
                <w:numId w:val="1"/>
              </w:numPr>
              <w:spacing w:line="360" w:lineRule="auto"/>
              <w:ind w:left="0" w:leftChars="0" w:firstLine="560" w:firstLineChars="200"/>
              <w:jc w:val="both"/>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lang w:eastAsia="zh-CN"/>
              </w:rPr>
              <w:t>污染物总量控制情况</w:t>
            </w:r>
          </w:p>
          <w:p>
            <w:pPr>
              <w:pStyle w:val="5"/>
              <w:spacing w:line="360" w:lineRule="auto"/>
              <w:ind w:firstLine="560" w:firstLineChars="200"/>
              <w:jc w:val="both"/>
              <w:rPr>
                <w:rFonts w:hint="eastAsia" w:ascii="Times New Roman" w:hAnsi="Times New Roman" w:cs="Times New Roman"/>
                <w:color w:val="auto"/>
                <w:sz w:val="28"/>
                <w:szCs w:val="28"/>
                <w:lang w:val="en-US" w:eastAsia="zh-CN"/>
              </w:rPr>
            </w:pPr>
            <w:r>
              <w:rPr>
                <w:rFonts w:hint="default" w:ascii="Times New Roman" w:hAnsi="Times New Roman" w:eastAsia="宋体" w:cs="Times New Roman"/>
                <w:color w:val="auto"/>
                <w:sz w:val="28"/>
                <w:szCs w:val="28"/>
                <w:lang w:eastAsia="zh-CN"/>
              </w:rPr>
              <w:t>项目营运期不设置废气污染物总量控制指标</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生活废水进入云溪区污水处理厂处理，总量控制指标纳入污水处理厂内，总量指标为：COD:0.88t/a，氨氮：0.12t/a。</w:t>
            </w:r>
          </w:p>
          <w:p>
            <w:pPr>
              <w:pStyle w:val="5"/>
              <w:spacing w:line="360" w:lineRule="auto"/>
              <w:ind w:firstLine="560" w:firstLineChars="200"/>
              <w:jc w:val="both"/>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本项目验收期间废水量为16t/d，生活废水排入云溪污水处理厂处理。根据云溪区污水处理厂尾水排放标准</w:t>
            </w:r>
            <w:r>
              <w:rPr>
                <w:rFonts w:hint="default" w:ascii="Times New Roman" w:hAnsi="Times New Roman" w:eastAsia="宋体" w:cs="Times New Roman"/>
                <w:color w:val="auto"/>
                <w:sz w:val="28"/>
                <w:szCs w:val="28"/>
                <w:lang w:eastAsia="zh-CN"/>
              </w:rPr>
              <w:t>《城镇污水处理厂污染物排放标准》（GB</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89</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8-</w:t>
            </w:r>
            <w:r>
              <w:rPr>
                <w:rFonts w:hint="default" w:ascii="Times New Roman" w:hAnsi="Times New Roman" w:eastAsia="宋体" w:cs="Times New Roman"/>
                <w:color w:val="auto"/>
                <w:sz w:val="28"/>
                <w:szCs w:val="28"/>
                <w:lang w:val="en-US" w:eastAsia="zh-CN"/>
              </w:rPr>
              <w:t>2002</w:t>
            </w:r>
            <w:r>
              <w:rPr>
                <w:rFonts w:hint="default" w:ascii="Times New Roman" w:hAnsi="Times New Roman" w:eastAsia="宋体" w:cs="Times New Roman"/>
                <w:color w:val="auto"/>
                <w:sz w:val="28"/>
                <w:szCs w:val="28"/>
                <w:lang w:eastAsia="zh-CN"/>
              </w:rPr>
              <w:t>）中表</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一级</w:t>
            </w:r>
            <w:r>
              <w:rPr>
                <w:rFonts w:hint="default" w:ascii="Times New Roman" w:hAnsi="Times New Roman" w:eastAsia="宋体" w:cs="Times New Roman"/>
                <w:color w:val="auto"/>
                <w:sz w:val="28"/>
                <w:szCs w:val="28"/>
                <w:lang w:val="en-US" w:eastAsia="zh-CN"/>
              </w:rPr>
              <w:t>A</w:t>
            </w:r>
            <w:r>
              <w:rPr>
                <w:rFonts w:hint="default" w:ascii="Times New Roman" w:hAnsi="Times New Roman" w:eastAsia="宋体" w:cs="Times New Roman"/>
                <w:color w:val="auto"/>
                <w:sz w:val="28"/>
                <w:szCs w:val="28"/>
                <w:lang w:eastAsia="zh-CN"/>
              </w:rPr>
              <w:t>排放标准</w:t>
            </w:r>
            <w:r>
              <w:rPr>
                <w:rFonts w:hint="eastAsia" w:ascii="Times New Roman" w:hAnsi="Times New Roman" w:cs="Times New Roman"/>
                <w:color w:val="auto"/>
                <w:sz w:val="28"/>
                <w:szCs w:val="28"/>
                <w:lang w:val="en-US" w:eastAsia="zh-CN"/>
              </w:rPr>
              <w:t>计算（COD50mg/l，氨氮5mg/l），本项目生活污水总量指标为COD：0.24t/a，氨氮：0.024t/a，满足环评总量控制要求。</w:t>
            </w:r>
          </w:p>
          <w:p>
            <w:pPr>
              <w:pStyle w:val="5"/>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eastAsia="zh-CN"/>
              </w:rPr>
              <w:t>、环境管理检查</w:t>
            </w:r>
          </w:p>
          <w:p>
            <w:pPr>
              <w:pStyle w:val="5"/>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sz w:val="28"/>
                <w:szCs w:val="28"/>
                <w:u w:val="single"/>
                <w:lang w:val="en-US" w:eastAsia="zh-CN"/>
              </w:rPr>
            </w:pPr>
            <w:r>
              <w:rPr>
                <w:rFonts w:hint="default" w:ascii="Times New Roman" w:hAnsi="Times New Roman" w:eastAsia="宋体" w:cs="Times New Roman"/>
                <w:sz w:val="28"/>
                <w:szCs w:val="28"/>
                <w:lang w:eastAsia="zh-CN"/>
              </w:rPr>
              <w:t>根据《排污许可管理办法（试行）》（环境保护部令第48号，2019年8月22日生态环境部令第7号修改）和《固定污染源排污许可分类管理名录(2019年版)》（生态环境部令第11号），项目所属行业为</w:t>
            </w:r>
            <w:r>
              <w:rPr>
                <w:rFonts w:hint="eastAsia" w:ascii="Times New Roman" w:hAnsi="Times New Roman" w:cs="Times New Roman"/>
                <w:sz w:val="28"/>
                <w:szCs w:val="28"/>
                <w:lang w:val="en-US" w:eastAsia="zh-CN"/>
              </w:rPr>
              <w:t>仓储业，根据</w:t>
            </w:r>
            <w:r>
              <w:rPr>
                <w:rFonts w:hint="default" w:ascii="Times New Roman" w:hAnsi="Times New Roman" w:eastAsia="宋体" w:cs="Times New Roman"/>
                <w:sz w:val="28"/>
                <w:szCs w:val="28"/>
                <w:lang w:eastAsia="zh-CN"/>
              </w:rPr>
              <w:t>《固定污染源排污许可分类管理名录(2019年版)》</w:t>
            </w:r>
            <w:r>
              <w:rPr>
                <w:rFonts w:hint="eastAsia" w:ascii="Times New Roman" w:hAnsi="Times New Roman" w:cs="Times New Roman"/>
                <w:sz w:val="28"/>
                <w:szCs w:val="28"/>
                <w:lang w:val="en-US" w:eastAsia="zh-CN"/>
              </w:rPr>
              <w:t>，仓储业只有危险品仓储行业申请排污许可证，本项目不涉及危险品仓储，无需办理相关手续。</w:t>
            </w:r>
            <w:r>
              <w:rPr>
                <w:rFonts w:hint="eastAsia" w:ascii="Times New Roman" w:hAnsi="Times New Roman" w:cs="Times New Roman"/>
                <w:sz w:val="28"/>
                <w:szCs w:val="28"/>
                <w:u w:val="single"/>
                <w:lang w:val="en-US" w:eastAsia="zh-CN"/>
              </w:rPr>
              <w:t>本项目子项目危货槽罐车清洗项目已单独完成验收及排污许可证工作，不在本次检查和验收范围内。</w:t>
            </w:r>
          </w:p>
          <w:p>
            <w:pPr>
              <w:pStyle w:val="5"/>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本项目暂未进行应急预案备案，目前正在进行整改，已委托相关单位进行应急预案编制及备案工作。</w:t>
            </w:r>
          </w:p>
          <w:p>
            <w:pPr>
              <w:pStyle w:val="5"/>
              <w:spacing w:line="360" w:lineRule="auto"/>
              <w:ind w:firstLine="562" w:firstLineChars="200"/>
              <w:jc w:val="both"/>
              <w:rPr>
                <w:rFonts w:hint="default" w:ascii="Times New Roman" w:hAnsi="Times New Roman" w:eastAsia="宋体" w:cs="Times New Roman"/>
                <w:b/>
                <w:bCs/>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b/>
                <w:bCs/>
                <w:color w:val="000000" w:themeColor="text1"/>
                <w:sz w:val="28"/>
                <w:szCs w:val="28"/>
                <w:lang w:eastAsia="zh-CN"/>
                <w14:textFill>
                  <w14:solidFill>
                    <w14:schemeClr w14:val="tx1"/>
                  </w14:solidFill>
                </w14:textFill>
              </w:rPr>
              <w:t>、总结论</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验收监测期间，该项目废气、废水、厂界噪声均符合相应标准限值的要求，生活垃圾得到妥善处理，</w:t>
            </w:r>
            <w:r>
              <w:rPr>
                <w:rFonts w:hint="eastAsia" w:cs="Times New Roman"/>
                <w:color w:val="000000" w:themeColor="text1"/>
                <w:sz w:val="28"/>
                <w:szCs w:val="28"/>
                <w:lang w:val="en-US" w:eastAsia="zh-CN"/>
                <w14:textFill>
                  <w14:solidFill>
                    <w14:schemeClr w14:val="tx1"/>
                  </w14:solidFill>
                </w14:textFill>
              </w:rPr>
              <w:t>危险</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交由有资质单位处理</w:t>
            </w:r>
            <w:r>
              <w:rPr>
                <w:rFonts w:hint="eastAsia" w:cs="Times New Roman"/>
                <w:color w:val="000000" w:themeColor="text1"/>
                <w:sz w:val="28"/>
                <w:szCs w:val="28"/>
                <w:lang w:val="en-US" w:eastAsia="zh-CN"/>
                <w14:textFill>
                  <w14:solidFill>
                    <w14:schemeClr w14:val="tx1"/>
                  </w14:solidFill>
                </w14:textFill>
              </w:rPr>
              <w:t>已</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签订</w:t>
            </w:r>
            <w:r>
              <w:rPr>
                <w:rFonts w:hint="eastAsia" w:cs="Times New Roman"/>
                <w:color w:val="000000" w:themeColor="text1"/>
                <w:sz w:val="28"/>
                <w:szCs w:val="28"/>
                <w:lang w:val="en-US" w:eastAsia="zh-CN"/>
                <w14:textFill>
                  <w14:solidFill>
                    <w14:schemeClr w14:val="tx1"/>
                  </w14:solidFill>
                </w14:textFill>
              </w:rPr>
              <w:t>协议</w:t>
            </w:r>
            <w:r>
              <w:rPr>
                <w:rFonts w:hint="eastAsia"/>
                <w:sz w:val="28"/>
                <w:szCs w:val="28"/>
                <w:lang w:eastAsia="zh-CN"/>
              </w:rPr>
              <w:t>（</w:t>
            </w:r>
            <w:r>
              <w:rPr>
                <w:rFonts w:hint="eastAsia"/>
                <w:sz w:val="28"/>
                <w:szCs w:val="28"/>
                <w:lang w:val="en-US" w:eastAsia="zh-CN"/>
              </w:rPr>
              <w:t>见附件8</w:t>
            </w:r>
            <w:r>
              <w:rPr>
                <w:rFonts w:hint="eastAsia"/>
                <w:sz w:val="28"/>
                <w:szCs w:val="28"/>
                <w:lang w:eastAsia="zh-CN"/>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w:t>
            </w:r>
            <w:r>
              <w:rPr>
                <w:rFonts w:hint="eastAsia" w:cs="Times New Roman"/>
                <w:color w:val="000000" w:themeColor="text1"/>
                <w:sz w:val="28"/>
                <w:szCs w:val="28"/>
                <w:lang w:val="en-US" w:eastAsia="zh-CN"/>
                <w14:textFill>
                  <w14:solidFill>
                    <w14:schemeClr w14:val="tx1"/>
                  </w14:solidFill>
                </w14:textFill>
              </w:rPr>
              <w:t>各</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类固废可得到有效处置</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环评批复的要求基本落实</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符合竣工环境保护验收条件。</w:t>
            </w:r>
            <w:r>
              <w:rPr>
                <w:rFonts w:hint="default" w:ascii="Times New Roman" w:hAnsi="Times New Roman" w:eastAsia="宋体" w:cs="Times New Roman"/>
                <w:sz w:val="24"/>
                <w:szCs w:val="24"/>
                <w:lang w:val="en-US" w:eastAsia="zh-CN"/>
              </w:rPr>
              <w:br w:type="textWrapping"/>
            </w:r>
            <w:r>
              <w:rPr>
                <w:rFonts w:hint="default" w:ascii="Times New Roman" w:hAnsi="Times New Roman" w:eastAsia="宋体" w:cs="Times New Roman"/>
                <w:sz w:val="24"/>
                <w:szCs w:val="24"/>
                <w:lang w:val="en-US" w:eastAsia="zh-CN"/>
              </w:rPr>
              <w:br w:type="textWrapping"/>
            </w:r>
          </w:p>
        </w:tc>
      </w:tr>
    </w:tbl>
    <w:p>
      <w:pPr>
        <w:pStyle w:val="2"/>
        <w:rPr>
          <w:rFonts w:hint="default" w:ascii="Times New Roman" w:hAnsi="Times New Roman" w:eastAsia="宋体" w:cs="Times New Roman"/>
          <w:lang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ascii="Times New Roman" w:hAnsi="Times New Roman" w:cs="Times New Roman"/>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PAGE  \* MERGEFORMAT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1</w:t>
                          </w:r>
                          <w:r>
                            <w:rPr>
                              <w:rFonts w:hint="default" w:ascii="Times New Roman" w:hAnsi="Times New Roman" w:cs="Times New Roman" w:eastAsiaTheme="minorEastAsia"/>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default" w:ascii="Times New Roman" w:hAnsi="Times New Roman" w:cs="Times New Roman"/>
                        <w:sz w:val="18"/>
                        <w:szCs w:val="18"/>
                      </w:rPr>
                    </w:pPr>
                    <w:r>
                      <w:rPr>
                        <w:rFonts w:hint="default" w:ascii="Times New Roman" w:hAnsi="Times New Roman" w:cs="Times New Roman" w:eastAsiaTheme="minorEastAsia"/>
                        <w:sz w:val="18"/>
                        <w:szCs w:val="18"/>
                      </w:rPr>
                      <w:fldChar w:fldCharType="begin"/>
                    </w:r>
                    <w:r>
                      <w:rPr>
                        <w:rFonts w:hint="default" w:ascii="Times New Roman" w:hAnsi="Times New Roman" w:cs="Times New Roman" w:eastAsiaTheme="minorEastAsia"/>
                        <w:sz w:val="18"/>
                        <w:szCs w:val="18"/>
                      </w:rPr>
                      <w:instrText xml:space="preserve"> PAGE  \* MERGEFORMAT </w:instrText>
                    </w:r>
                    <w:r>
                      <w:rPr>
                        <w:rFonts w:hint="default" w:ascii="Times New Roman" w:hAnsi="Times New Roman" w:cs="Times New Roman" w:eastAsiaTheme="minorEastAsia"/>
                        <w:sz w:val="18"/>
                        <w:szCs w:val="18"/>
                      </w:rPr>
                      <w:fldChar w:fldCharType="separate"/>
                    </w:r>
                    <w:r>
                      <w:rPr>
                        <w:rFonts w:hint="default" w:ascii="Times New Roman" w:hAnsi="Times New Roman" w:cs="Times New Roman" w:eastAsiaTheme="minorEastAsia"/>
                        <w:sz w:val="18"/>
                        <w:szCs w:val="18"/>
                      </w:rPr>
                      <w:t>1</w:t>
                    </w:r>
                    <w:r>
                      <w:rPr>
                        <w:rFonts w:hint="default" w:ascii="Times New Roman" w:hAnsi="Times New Roman" w:cs="Times New Roman" w:eastAsiaTheme="minorEastAsia"/>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0"/>
      </w:pBdr>
      <w:ind w:firstLine="0"/>
      <w:rPr>
        <w:lang w:eastAsia="zh-CN"/>
      </w:rPr>
    </w:pPr>
    <w:r>
      <w:rPr>
        <w:rFonts w:hint="eastAsia"/>
        <w:lang w:eastAsia="zh-CN"/>
      </w:rPr>
      <w:t>岳阳云港物流园</w:t>
    </w:r>
    <w:r>
      <w:rPr>
        <w:rFonts w:hint="eastAsia"/>
        <w:lang w:val="en-US" w:eastAsia="zh-CN"/>
      </w:rPr>
      <w:t>建设项目竣</w:t>
    </w:r>
    <w:r>
      <w:rPr>
        <w:lang w:eastAsia="zh-CN"/>
      </w:rPr>
      <w:t>工环境保护验收监测表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AAA40"/>
    <w:multiLevelType w:val="singleLevel"/>
    <w:tmpl w:val="849AAA4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67A4"/>
    <w:rsid w:val="00057D07"/>
    <w:rsid w:val="00094AA5"/>
    <w:rsid w:val="000A4F55"/>
    <w:rsid w:val="0011210C"/>
    <w:rsid w:val="0011371B"/>
    <w:rsid w:val="00124127"/>
    <w:rsid w:val="0015332B"/>
    <w:rsid w:val="002449D0"/>
    <w:rsid w:val="002A00C5"/>
    <w:rsid w:val="002B3645"/>
    <w:rsid w:val="002F3E81"/>
    <w:rsid w:val="00316DD9"/>
    <w:rsid w:val="003262B4"/>
    <w:rsid w:val="003828D4"/>
    <w:rsid w:val="003831C1"/>
    <w:rsid w:val="0040783A"/>
    <w:rsid w:val="0042391F"/>
    <w:rsid w:val="00450403"/>
    <w:rsid w:val="00467D73"/>
    <w:rsid w:val="00472F13"/>
    <w:rsid w:val="004B4C2F"/>
    <w:rsid w:val="005114DE"/>
    <w:rsid w:val="00516780"/>
    <w:rsid w:val="005D22C3"/>
    <w:rsid w:val="005E0FA0"/>
    <w:rsid w:val="005E5B4B"/>
    <w:rsid w:val="00606EAE"/>
    <w:rsid w:val="00710251"/>
    <w:rsid w:val="00750094"/>
    <w:rsid w:val="00750402"/>
    <w:rsid w:val="007A6B1B"/>
    <w:rsid w:val="007C34A6"/>
    <w:rsid w:val="007D4EBF"/>
    <w:rsid w:val="008537EF"/>
    <w:rsid w:val="008726B9"/>
    <w:rsid w:val="008875DF"/>
    <w:rsid w:val="008B0C2E"/>
    <w:rsid w:val="008B0D0B"/>
    <w:rsid w:val="008C7567"/>
    <w:rsid w:val="008E77A8"/>
    <w:rsid w:val="00944913"/>
    <w:rsid w:val="0099623D"/>
    <w:rsid w:val="00997DE6"/>
    <w:rsid w:val="009E500E"/>
    <w:rsid w:val="00A63783"/>
    <w:rsid w:val="00AA5225"/>
    <w:rsid w:val="00B4553B"/>
    <w:rsid w:val="00B55022"/>
    <w:rsid w:val="00B61A0D"/>
    <w:rsid w:val="00B838B5"/>
    <w:rsid w:val="00BC27B0"/>
    <w:rsid w:val="00BD293E"/>
    <w:rsid w:val="00BF3EC4"/>
    <w:rsid w:val="00BF42E5"/>
    <w:rsid w:val="00C17821"/>
    <w:rsid w:val="00C21B87"/>
    <w:rsid w:val="00C24112"/>
    <w:rsid w:val="00C37F78"/>
    <w:rsid w:val="00C624D8"/>
    <w:rsid w:val="00C85F42"/>
    <w:rsid w:val="00CF447C"/>
    <w:rsid w:val="00CF5E8F"/>
    <w:rsid w:val="00D32743"/>
    <w:rsid w:val="00DC1421"/>
    <w:rsid w:val="00DC6D5A"/>
    <w:rsid w:val="00DE7B2C"/>
    <w:rsid w:val="00E27BF7"/>
    <w:rsid w:val="00E5524F"/>
    <w:rsid w:val="00ED20E2"/>
    <w:rsid w:val="00EE7133"/>
    <w:rsid w:val="00F056CA"/>
    <w:rsid w:val="00F34872"/>
    <w:rsid w:val="00F617B5"/>
    <w:rsid w:val="00F67804"/>
    <w:rsid w:val="00F860BA"/>
    <w:rsid w:val="00F97DEF"/>
    <w:rsid w:val="00FB62FD"/>
    <w:rsid w:val="00FF131B"/>
    <w:rsid w:val="0165755D"/>
    <w:rsid w:val="018F44B3"/>
    <w:rsid w:val="02C536EF"/>
    <w:rsid w:val="07267531"/>
    <w:rsid w:val="076E7CFB"/>
    <w:rsid w:val="07F73AB7"/>
    <w:rsid w:val="0845351A"/>
    <w:rsid w:val="0B51749E"/>
    <w:rsid w:val="0CAD1DE1"/>
    <w:rsid w:val="0CDD768E"/>
    <w:rsid w:val="0D2E4C57"/>
    <w:rsid w:val="0F07341A"/>
    <w:rsid w:val="0FFE0CE7"/>
    <w:rsid w:val="100542D7"/>
    <w:rsid w:val="102D0195"/>
    <w:rsid w:val="10561E9D"/>
    <w:rsid w:val="11806714"/>
    <w:rsid w:val="13937B92"/>
    <w:rsid w:val="13B75BA0"/>
    <w:rsid w:val="15F06B41"/>
    <w:rsid w:val="169267A3"/>
    <w:rsid w:val="16C353C2"/>
    <w:rsid w:val="19962D15"/>
    <w:rsid w:val="1997073F"/>
    <w:rsid w:val="1A0C1E0A"/>
    <w:rsid w:val="1A9A02C2"/>
    <w:rsid w:val="1B331B16"/>
    <w:rsid w:val="1B6437F4"/>
    <w:rsid w:val="1C413F19"/>
    <w:rsid w:val="1C603535"/>
    <w:rsid w:val="1F22707D"/>
    <w:rsid w:val="221730F9"/>
    <w:rsid w:val="228C0DE1"/>
    <w:rsid w:val="23E301DA"/>
    <w:rsid w:val="27A7247C"/>
    <w:rsid w:val="28276E2A"/>
    <w:rsid w:val="2AA066ED"/>
    <w:rsid w:val="2B293024"/>
    <w:rsid w:val="2B8842AE"/>
    <w:rsid w:val="2C583D4D"/>
    <w:rsid w:val="2C833BBF"/>
    <w:rsid w:val="2EE84BBF"/>
    <w:rsid w:val="2F0E00F3"/>
    <w:rsid w:val="2FB35175"/>
    <w:rsid w:val="304C3C7C"/>
    <w:rsid w:val="321B0D38"/>
    <w:rsid w:val="32316FBA"/>
    <w:rsid w:val="349C2D9D"/>
    <w:rsid w:val="36614048"/>
    <w:rsid w:val="397B1DE0"/>
    <w:rsid w:val="3A157C0D"/>
    <w:rsid w:val="3C0C496A"/>
    <w:rsid w:val="3C5941B2"/>
    <w:rsid w:val="3D532121"/>
    <w:rsid w:val="400400DF"/>
    <w:rsid w:val="407E510B"/>
    <w:rsid w:val="415062EC"/>
    <w:rsid w:val="41D122AE"/>
    <w:rsid w:val="421537EA"/>
    <w:rsid w:val="43347DAE"/>
    <w:rsid w:val="43520908"/>
    <w:rsid w:val="442454E5"/>
    <w:rsid w:val="44AE2CDC"/>
    <w:rsid w:val="45102106"/>
    <w:rsid w:val="45841568"/>
    <w:rsid w:val="46C65480"/>
    <w:rsid w:val="46DE3E7C"/>
    <w:rsid w:val="47D417F9"/>
    <w:rsid w:val="480E56A3"/>
    <w:rsid w:val="49522799"/>
    <w:rsid w:val="4D4544E0"/>
    <w:rsid w:val="4D6B1BF2"/>
    <w:rsid w:val="4E3D3EC0"/>
    <w:rsid w:val="4EA53652"/>
    <w:rsid w:val="4FDF5231"/>
    <w:rsid w:val="50B24357"/>
    <w:rsid w:val="50F67F49"/>
    <w:rsid w:val="513F699C"/>
    <w:rsid w:val="53B95B6C"/>
    <w:rsid w:val="564E3A49"/>
    <w:rsid w:val="58004B74"/>
    <w:rsid w:val="590C40DE"/>
    <w:rsid w:val="593847DB"/>
    <w:rsid w:val="5B8511E1"/>
    <w:rsid w:val="5C890207"/>
    <w:rsid w:val="5CC42E7E"/>
    <w:rsid w:val="5D483831"/>
    <w:rsid w:val="5DA40D28"/>
    <w:rsid w:val="5E1F2FF2"/>
    <w:rsid w:val="5FDA0E7F"/>
    <w:rsid w:val="600C174F"/>
    <w:rsid w:val="6133177E"/>
    <w:rsid w:val="64A8527B"/>
    <w:rsid w:val="650D0350"/>
    <w:rsid w:val="66BF2694"/>
    <w:rsid w:val="66C56473"/>
    <w:rsid w:val="682B4A69"/>
    <w:rsid w:val="68413409"/>
    <w:rsid w:val="68F947A8"/>
    <w:rsid w:val="69795BB5"/>
    <w:rsid w:val="69B56AF9"/>
    <w:rsid w:val="69C15BAD"/>
    <w:rsid w:val="6A035AB2"/>
    <w:rsid w:val="6B440F3A"/>
    <w:rsid w:val="6B807552"/>
    <w:rsid w:val="6BE11EA3"/>
    <w:rsid w:val="6CCB7A68"/>
    <w:rsid w:val="6EB2407D"/>
    <w:rsid w:val="6EC05989"/>
    <w:rsid w:val="6F54064D"/>
    <w:rsid w:val="70305B32"/>
    <w:rsid w:val="72B62309"/>
    <w:rsid w:val="72F50CAB"/>
    <w:rsid w:val="73B014AB"/>
    <w:rsid w:val="73EA2F07"/>
    <w:rsid w:val="76EF7BD3"/>
    <w:rsid w:val="77E53352"/>
    <w:rsid w:val="789850D7"/>
    <w:rsid w:val="79815B05"/>
    <w:rsid w:val="7A44519B"/>
    <w:rsid w:val="7A9A087C"/>
    <w:rsid w:val="7D7C0FEB"/>
    <w:rsid w:val="7D802CC0"/>
    <w:rsid w:val="7EF6102F"/>
    <w:rsid w:val="7FFB0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Noto Sans Mono CJK JP Regular" w:hAnsi="Noto Sans Mono CJK JP Regular" w:eastAsia="宋体" w:cs="Noto Sans Mono CJK JP Regular"/>
      <w:kern w:val="0"/>
      <w:sz w:val="22"/>
      <w:szCs w:val="22"/>
      <w:lang w:val="en-US" w:eastAsia="en-US" w:bidi="ar-SA"/>
    </w:rPr>
  </w:style>
  <w:style w:type="paragraph" w:styleId="3">
    <w:name w:val="heading 2"/>
    <w:basedOn w:val="1"/>
    <w:next w:val="4"/>
    <w:link w:val="22"/>
    <w:qFormat/>
    <w:uiPriority w:val="0"/>
    <w:pPr>
      <w:keepNext/>
      <w:keepLines/>
      <w:spacing w:before="240" w:after="120" w:line="360" w:lineRule="auto"/>
      <w:outlineLvl w:val="1"/>
    </w:pPr>
    <w:rPr>
      <w:rFonts w:ascii="Times New Roman" w:hAnsi="Times New Roman" w:eastAsia="宋体"/>
      <w:b/>
      <w:sz w:val="28"/>
      <w:szCs w:val="28"/>
    </w:rPr>
  </w:style>
  <w:style w:type="paragraph" w:styleId="7">
    <w:name w:val="heading 3"/>
    <w:basedOn w:val="1"/>
    <w:next w:val="1"/>
    <w:link w:val="23"/>
    <w:semiHidden/>
    <w:unhideWhenUsed/>
    <w:qFormat/>
    <w:uiPriority w:val="9"/>
    <w:pPr>
      <w:keepNext/>
      <w:keepLines/>
      <w:spacing w:before="260" w:after="260" w:line="416" w:lineRule="auto"/>
      <w:outlineLvl w:val="2"/>
    </w:pPr>
    <w:rPr>
      <w:b/>
      <w:bCs/>
      <w:sz w:val="32"/>
      <w:szCs w:val="32"/>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宋体"/>
      <w:color w:val="000000"/>
      <w:kern w:val="0"/>
      <w:sz w:val="24"/>
      <w:szCs w:val="24"/>
      <w:lang w:val="en-US" w:eastAsia="zh-CN" w:bidi="ar-SA"/>
    </w:rPr>
  </w:style>
  <w:style w:type="paragraph" w:styleId="4">
    <w:name w:val="Body Text First Indent"/>
    <w:basedOn w:val="5"/>
    <w:next w:val="1"/>
    <w:link w:val="31"/>
    <w:semiHidden/>
    <w:unhideWhenUsed/>
    <w:qFormat/>
    <w:uiPriority w:val="99"/>
    <w:pPr>
      <w:spacing w:after="120"/>
      <w:ind w:firstLine="420" w:firstLineChars="100"/>
    </w:pPr>
    <w:rPr>
      <w:sz w:val="22"/>
      <w:szCs w:val="22"/>
    </w:rPr>
  </w:style>
  <w:style w:type="paragraph" w:styleId="5">
    <w:name w:val="Body Text"/>
    <w:basedOn w:val="1"/>
    <w:next w:val="6"/>
    <w:link w:val="24"/>
    <w:qFormat/>
    <w:uiPriority w:val="1"/>
    <w:rPr>
      <w:sz w:val="24"/>
      <w:szCs w:val="24"/>
    </w:rPr>
  </w:style>
  <w:style w:type="paragraph" w:customStyle="1" w:styleId="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annotation text"/>
    <w:basedOn w:val="1"/>
    <w:qFormat/>
    <w:uiPriority w:val="0"/>
    <w:pPr>
      <w:jc w:val="left"/>
    </w:pPr>
    <w:rPr>
      <w:rFonts w:ascii="Times New Roman" w:hAnsi="Times New Roman" w:eastAsia="宋体" w:cs="Times New Roman"/>
      <w:sz w:val="24"/>
      <w:szCs w:val="24"/>
    </w:rPr>
  </w:style>
  <w:style w:type="paragraph" w:styleId="10">
    <w:name w:val="Body Text Indent"/>
    <w:basedOn w:val="1"/>
    <w:qFormat/>
    <w:uiPriority w:val="0"/>
    <w:pPr>
      <w:spacing w:after="120"/>
      <w:ind w:left="420" w:leftChars="200"/>
    </w:pPr>
    <w:rPr>
      <w:rFonts w:ascii="Times New Roman" w:hAnsi="Times New Roman"/>
      <w:kern w:val="13"/>
      <w:sz w:val="24"/>
      <w:szCs w:val="24"/>
    </w:rPr>
  </w:style>
  <w:style w:type="paragraph" w:styleId="11">
    <w:name w:val="Balloon Text"/>
    <w:basedOn w:val="1"/>
    <w:link w:val="29"/>
    <w:unhideWhenUsed/>
    <w:qFormat/>
    <w:uiPriority w:val="99"/>
    <w:rPr>
      <w:sz w:val="18"/>
      <w:szCs w:val="18"/>
    </w:rPr>
  </w:style>
  <w:style w:type="paragraph" w:styleId="12">
    <w:name w:val="footer"/>
    <w:basedOn w:val="1"/>
    <w:link w:val="30"/>
    <w:unhideWhenUsed/>
    <w:qFormat/>
    <w:uiPriority w:val="99"/>
    <w:pPr>
      <w:tabs>
        <w:tab w:val="center" w:pos="4153"/>
        <w:tab w:val="right" w:pos="8306"/>
      </w:tabs>
      <w:snapToGrid w:val="0"/>
    </w:pPr>
    <w:rPr>
      <w:sz w:val="18"/>
      <w:szCs w:val="18"/>
    </w:rPr>
  </w:style>
  <w:style w:type="paragraph" w:styleId="13">
    <w:name w:val="header"/>
    <w:basedOn w:val="1"/>
    <w:link w:val="25"/>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4">
    <w:name w:val="toc 2"/>
    <w:basedOn w:val="1"/>
    <w:next w:val="1"/>
    <w:qFormat/>
    <w:uiPriority w:val="0"/>
    <w:pPr>
      <w:adjustRightInd w:val="0"/>
      <w:ind w:left="420" w:leftChars="200"/>
      <w:jc w:val="left"/>
      <w:textAlignment w:val="baseline"/>
    </w:pPr>
    <w:rPr>
      <w:sz w:val="24"/>
    </w:rPr>
  </w:style>
  <w:style w:type="paragraph" w:styleId="15">
    <w:name w:val="Body Text 2"/>
    <w:basedOn w:val="1"/>
    <w:link w:val="35"/>
    <w:semiHidden/>
    <w:unhideWhenUsed/>
    <w:qFormat/>
    <w:uiPriority w:val="99"/>
    <w:pPr>
      <w:spacing w:after="120" w:line="480" w:lineRule="auto"/>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10"/>
    <w:qFormat/>
    <w:uiPriority w:val="0"/>
    <w:pPr>
      <w:ind w:firstLine="420" w:firstLineChars="200"/>
    </w:pPr>
    <w:rPr>
      <w:rFonts w:ascii="Calibri" w:hAnsi="Calibri"/>
      <w:kern w:val="2"/>
      <w:sz w:val="21"/>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表格1"/>
    <w:basedOn w:val="1"/>
    <w:next w:val="1"/>
    <w:qFormat/>
    <w:uiPriority w:val="0"/>
    <w:pPr>
      <w:spacing w:line="240" w:lineRule="auto"/>
      <w:ind w:firstLine="0" w:firstLineChars="0"/>
    </w:pPr>
    <w:rPr>
      <w:rFonts w:ascii="Times New Roman" w:hAnsi="Times New Roman" w:eastAsia="宋体" w:cs="Times New Roman"/>
      <w:sz w:val="21"/>
    </w:rPr>
  </w:style>
  <w:style w:type="character" w:customStyle="1" w:styleId="22">
    <w:name w:val="标题 2 Char"/>
    <w:basedOn w:val="20"/>
    <w:link w:val="3"/>
    <w:qFormat/>
    <w:uiPriority w:val="0"/>
    <w:rPr>
      <w:rFonts w:ascii="Times New Roman" w:hAnsi="Times New Roman" w:eastAsia="宋体" w:cs="Noto Sans Mono CJK JP Regular"/>
      <w:b/>
      <w:kern w:val="0"/>
      <w:sz w:val="28"/>
      <w:szCs w:val="28"/>
      <w:lang w:eastAsia="en-US"/>
    </w:rPr>
  </w:style>
  <w:style w:type="character" w:customStyle="1" w:styleId="23">
    <w:name w:val="标题 3 Char"/>
    <w:basedOn w:val="20"/>
    <w:link w:val="7"/>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24">
    <w:name w:val="正文文本 Char"/>
    <w:basedOn w:val="20"/>
    <w:link w:val="5"/>
    <w:qFormat/>
    <w:uiPriority w:val="1"/>
    <w:rPr>
      <w:rFonts w:ascii="Noto Sans Mono CJK JP Regular" w:hAnsi="Noto Sans Mono CJK JP Regular" w:eastAsia="宋体" w:cs="Noto Sans Mono CJK JP Regular"/>
      <w:kern w:val="0"/>
      <w:sz w:val="24"/>
      <w:szCs w:val="24"/>
      <w:lang w:eastAsia="en-US"/>
    </w:rPr>
  </w:style>
  <w:style w:type="character" w:customStyle="1" w:styleId="25">
    <w:name w:val="页眉 Char"/>
    <w:basedOn w:val="20"/>
    <w:link w:val="13"/>
    <w:qFormat/>
    <w:uiPriority w:val="0"/>
    <w:rPr>
      <w:rFonts w:ascii="Times New Roman" w:hAnsi="Times New Roman" w:eastAsia="宋体" w:cs="Noto Sans Mono CJK JP Regular"/>
      <w:kern w:val="0"/>
      <w:sz w:val="18"/>
      <w:szCs w:val="18"/>
      <w:lang w:eastAsia="en-US"/>
    </w:rPr>
  </w:style>
  <w:style w:type="paragraph" w:customStyle="1" w:styleId="26">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7">
    <w:name w:val="Table Paragraph"/>
    <w:basedOn w:val="1"/>
    <w:qFormat/>
    <w:uiPriority w:val="1"/>
    <w:pPr>
      <w:jc w:val="center"/>
    </w:pPr>
  </w:style>
  <w:style w:type="paragraph" w:customStyle="1" w:styleId="28">
    <w:name w:val="表格"/>
    <w:basedOn w:val="1"/>
    <w:next w:val="1"/>
    <w:qFormat/>
    <w:uiPriority w:val="0"/>
    <w:pPr>
      <w:jc w:val="center"/>
    </w:pPr>
    <w:rPr>
      <w:rFonts w:ascii="Times New Roman" w:hAnsi="Times New Roman"/>
      <w:sz w:val="21"/>
      <w:szCs w:val="21"/>
    </w:rPr>
  </w:style>
  <w:style w:type="character" w:customStyle="1" w:styleId="29">
    <w:name w:val="批注框文本 Char"/>
    <w:basedOn w:val="20"/>
    <w:link w:val="11"/>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0">
    <w:name w:val="页脚 Char"/>
    <w:basedOn w:val="20"/>
    <w:link w:val="12"/>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1">
    <w:name w:val="正文首行缩进 Char"/>
    <w:basedOn w:val="24"/>
    <w:link w:val="4"/>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32">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3">
    <w:name w:val="font31"/>
    <w:basedOn w:val="20"/>
    <w:qFormat/>
    <w:uiPriority w:val="0"/>
    <w:rPr>
      <w:rFonts w:ascii="Times New Roman" w:hAnsi="Times New Roman" w:cs="Times New Roman"/>
      <w:color w:val="000000"/>
      <w:sz w:val="20"/>
      <w:szCs w:val="20"/>
      <w:u w:val="none"/>
      <w:lang w:bidi="ar-SA"/>
    </w:rPr>
  </w:style>
  <w:style w:type="paragraph" w:customStyle="1" w:styleId="34">
    <w:name w:val="1"/>
    <w:basedOn w:val="1"/>
    <w:next w:val="15"/>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5">
    <w:name w:val="正文文本 2 Char"/>
    <w:basedOn w:val="20"/>
    <w:link w:val="15"/>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6">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7">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8">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table" w:customStyle="1" w:styleId="39">
    <w:name w:val="网格型1"/>
    <w:basedOn w:val="1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1">
    <w:name w:val="zw"/>
    <w:basedOn w:val="1"/>
    <w:qFormat/>
    <w:uiPriority w:val="0"/>
    <w:pPr>
      <w:spacing w:line="600" w:lineRule="atLeast"/>
      <w:ind w:firstLine="524" w:firstLineChars="187"/>
      <w:jc w:val="both"/>
    </w:pPr>
    <w:rPr>
      <w:rFonts w:eastAsia="宋体" w:cs="Times New Roman"/>
      <w:sz w:val="28"/>
      <w:szCs w:val="28"/>
    </w:rPr>
  </w:style>
  <w:style w:type="paragraph" w:customStyle="1" w:styleId="42">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10636</Words>
  <Characters>12574</Characters>
  <Lines>199</Lines>
  <Paragraphs>56</Paragraphs>
  <TotalTime>1</TotalTime>
  <ScaleCrop>false</ScaleCrop>
  <LinksUpToDate>false</LinksUpToDate>
  <CharactersWithSpaces>12840</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QR</cp:lastModifiedBy>
  <dcterms:modified xsi:type="dcterms:W3CDTF">2020-11-30T03:37:03Z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